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insoku w:val="0"/>
        <w:overflowPunct w:val="0"/>
        <w:spacing w:line="416" w:lineRule="exact"/>
        <w:jc w:val="both"/>
        <w:rPr>
          <w:color w:val="auto"/>
          <w:spacing w:val="1"/>
        </w:rPr>
      </w:pPr>
      <w:bookmarkStart w:id="0" w:name="合作方价格"/>
      <w:bookmarkEnd w:id="0"/>
      <w:r>
        <w:rPr>
          <w:rFonts w:hint="eastAsia"/>
          <w:color w:val="auto"/>
          <w:spacing w:val="1"/>
        </w:rPr>
        <w:t xml:space="preserve">      </w:t>
      </w: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spacing w:before="156" w:beforeLines="50" w:line="360" w:lineRule="auto"/>
        <w:rPr>
          <w:rFonts w:ascii="宋体" w:hAnsi="宋体" w:eastAsia="宋体"/>
          <w:b/>
          <w:color w:val="auto"/>
          <w:sz w:val="72"/>
          <w:szCs w:val="72"/>
        </w:rPr>
      </w:pPr>
      <w:bookmarkStart w:id="1" w:name="_Hlk1479823"/>
      <w:r>
        <w:rPr>
          <w:rFonts w:hint="eastAsia" w:ascii="宋体" w:hAnsi="宋体"/>
          <w:b/>
          <w:color w:val="auto"/>
          <w:sz w:val="72"/>
          <w:szCs w:val="72"/>
        </w:rPr>
        <w:drawing>
          <wp:anchor distT="0" distB="0" distL="114300" distR="114300" simplePos="0" relativeHeight="251661312" behindDoc="0" locked="0" layoutInCell="1" allowOverlap="1">
            <wp:simplePos x="0" y="0"/>
            <wp:positionH relativeFrom="column">
              <wp:posOffset>1711325</wp:posOffset>
            </wp:positionH>
            <wp:positionV relativeFrom="paragraph">
              <wp:posOffset>654685</wp:posOffset>
            </wp:positionV>
            <wp:extent cx="2361565" cy="1808480"/>
            <wp:effectExtent l="0" t="0" r="635" b="1270"/>
            <wp:wrapSquare wrapText="bothSides"/>
            <wp:docPr id="1" name="图片 1" descr="机构高清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机构高清图"/>
                    <pic:cNvPicPr>
                      <a:picLocks noChangeAspect="1"/>
                    </pic:cNvPicPr>
                  </pic:nvPicPr>
                  <pic:blipFill>
                    <a:blip r:embed="rId9"/>
                    <a:stretch>
                      <a:fillRect/>
                    </a:stretch>
                  </pic:blipFill>
                  <pic:spPr>
                    <a:xfrm>
                      <a:off x="0" y="0"/>
                      <a:ext cx="2361565" cy="1808480"/>
                    </a:xfrm>
                    <a:prstGeom prst="rect">
                      <a:avLst/>
                    </a:prstGeom>
                  </pic:spPr>
                </pic:pic>
              </a:graphicData>
            </a:graphic>
          </wp:anchor>
        </w:drawing>
      </w:r>
      <w:r>
        <w:rPr>
          <w:rFonts w:hint="eastAsia" w:ascii="宋体" w:hAnsi="宋体"/>
          <w:b/>
          <w:color w:val="auto"/>
          <w:sz w:val="72"/>
          <w:szCs w:val="72"/>
        </w:rPr>
        <w:t xml:space="preserve"> </w:t>
      </w:r>
    </w:p>
    <w:p>
      <w:pPr>
        <w:spacing w:before="156" w:beforeLines="50" w:line="360" w:lineRule="auto"/>
        <w:rPr>
          <w:rFonts w:ascii="宋体" w:hAnsi="宋体"/>
          <w:b/>
          <w:color w:val="auto"/>
          <w:sz w:val="72"/>
          <w:szCs w:val="72"/>
        </w:rPr>
      </w:pPr>
    </w:p>
    <w:p>
      <w:pPr>
        <w:spacing w:before="156" w:beforeLines="50" w:line="360" w:lineRule="auto"/>
        <w:rPr>
          <w:rFonts w:ascii="宋体" w:hAnsi="宋体"/>
          <w:b/>
          <w:color w:val="auto"/>
          <w:sz w:val="72"/>
          <w:szCs w:val="72"/>
        </w:rPr>
      </w:pPr>
    </w:p>
    <w:p>
      <w:pPr>
        <w:spacing w:before="156" w:beforeLines="50" w:line="360" w:lineRule="auto"/>
        <w:rPr>
          <w:rFonts w:ascii="宋体" w:hAnsi="宋体"/>
          <w:b/>
          <w:color w:val="auto"/>
          <w:sz w:val="72"/>
          <w:szCs w:val="72"/>
        </w:rPr>
      </w:pPr>
    </w:p>
    <w:p>
      <w:pPr>
        <w:spacing w:before="156" w:beforeLines="50"/>
        <w:jc w:val="center"/>
        <w:rPr>
          <w:rFonts w:ascii="宋体" w:hAnsi="宋体"/>
          <w:b/>
          <w:color w:val="auto"/>
          <w:sz w:val="52"/>
          <w:szCs w:val="52"/>
        </w:rPr>
      </w:pPr>
      <w:r>
        <w:rPr>
          <w:rFonts w:hint="eastAsia" w:ascii="宋体" w:hAnsi="宋体"/>
          <w:b/>
          <w:color w:val="auto"/>
          <w:sz w:val="52"/>
          <w:szCs w:val="52"/>
        </w:rPr>
        <w:t xml:space="preserve">认证业务范围管理程序 </w:t>
      </w:r>
    </w:p>
    <w:p>
      <w:pPr>
        <w:spacing w:line="300" w:lineRule="auto"/>
        <w:jc w:val="center"/>
        <w:rPr>
          <w:rFonts w:ascii="宋体" w:hAnsi="宋体" w:eastAsia="宋体" w:cs="宋体"/>
          <w:b/>
          <w:color w:val="auto"/>
          <w:sz w:val="28"/>
          <w:szCs w:val="28"/>
        </w:rPr>
      </w:pPr>
      <w:r>
        <w:rPr>
          <w:rFonts w:ascii="宋体" w:hAnsi="宋体" w:eastAsia="宋体" w:cs="宋体"/>
          <w:b/>
          <w:bCs/>
          <w:color w:val="auto"/>
          <w:sz w:val="28"/>
        </w:rPr>
        <w:pict>
          <v:shape id="直接连接符 89" o:spid="_x0000_s1026" o:spt="32" type="#_x0000_t32" style="position:absolute;left:0pt;margin-left:161.9pt;margin-top:30.15pt;height:0pt;width:125.55pt;z-index:251660288;mso-width-relative:page;mso-height-relative:page;" filled="f" coordsize="21600,21600">
            <v:path arrowok="t"/>
            <v:fill on="f" focussize="0,0"/>
            <v:stroke weight="1pt" joinstyle="miter"/>
            <v:imagedata o:title=""/>
            <o:lock v:ext="edit"/>
          </v:shape>
        </w:pict>
      </w:r>
      <w:r>
        <w:rPr>
          <w:rFonts w:hint="eastAsia" w:ascii="宋体" w:hAnsi="宋体" w:eastAsia="宋体" w:cs="宋体"/>
          <w:b/>
          <w:bCs/>
          <w:color w:val="auto"/>
          <w:sz w:val="28"/>
        </w:rPr>
        <w:t>ZL-CX-10</w:t>
      </w:r>
      <w:r>
        <w:rPr>
          <w:rFonts w:hint="eastAsia"/>
          <w:color w:val="auto"/>
          <w:sz w:val="28"/>
        </w:rPr>
        <w:t>（</w:t>
      </w:r>
      <w:r>
        <w:rPr>
          <w:rFonts w:hint="eastAsia" w:ascii="宋体" w:hAnsi="宋体" w:cs="宋体"/>
          <w:b/>
          <w:color w:val="auto"/>
          <w:sz w:val="28"/>
          <w:szCs w:val="28"/>
        </w:rPr>
        <w:t>B</w:t>
      </w:r>
      <w:r>
        <w:rPr>
          <w:rFonts w:hint="eastAsia" w:ascii="宋体" w:hAnsi="宋体" w:cs="宋体"/>
          <w:b/>
          <w:color w:val="auto"/>
          <w:sz w:val="28"/>
          <w:szCs w:val="28"/>
          <w:lang w:val="en-US" w:eastAsia="zh-CN"/>
        </w:rPr>
        <w:t>3</w:t>
      </w:r>
      <w:r>
        <w:rPr>
          <w:rFonts w:hint="eastAsia" w:ascii="宋体" w:hAnsi="宋体" w:cs="宋体"/>
          <w:b/>
          <w:color w:val="auto"/>
          <w:sz w:val="28"/>
          <w:szCs w:val="28"/>
        </w:rPr>
        <w:t>版</w:t>
      </w:r>
      <w:r>
        <w:rPr>
          <w:rFonts w:hint="eastAsia"/>
          <w:color w:val="auto"/>
          <w:sz w:val="28"/>
        </w:rPr>
        <w:t>）</w:t>
      </w:r>
    </w:p>
    <w:p>
      <w:pPr>
        <w:widowControl/>
        <w:snapToGrid w:val="0"/>
        <w:spacing w:line="480" w:lineRule="auto"/>
        <w:jc w:val="center"/>
        <w:rPr>
          <w:b/>
          <w:color w:val="auto"/>
          <w:sz w:val="44"/>
          <w:szCs w:val="44"/>
        </w:rPr>
      </w:pPr>
    </w:p>
    <w:p>
      <w:pPr>
        <w:widowControl/>
        <w:snapToGrid w:val="0"/>
        <w:spacing w:line="480" w:lineRule="auto"/>
        <w:jc w:val="center"/>
        <w:rPr>
          <w:b/>
          <w:color w:val="auto"/>
          <w:sz w:val="44"/>
          <w:szCs w:val="44"/>
        </w:rPr>
      </w:pPr>
    </w:p>
    <w:p>
      <w:pPr>
        <w:widowControl/>
        <w:snapToGrid w:val="0"/>
        <w:spacing w:line="360" w:lineRule="auto"/>
        <w:jc w:val="center"/>
        <w:rPr>
          <w:b/>
          <w:color w:val="auto"/>
          <w:sz w:val="28"/>
          <w:szCs w:val="28"/>
        </w:rPr>
      </w:pPr>
      <w:r>
        <w:rPr>
          <w:rFonts w:hint="eastAsia"/>
          <w:b/>
          <w:color w:val="auto"/>
          <w:sz w:val="28"/>
          <w:szCs w:val="28"/>
        </w:rPr>
        <w:t>编制：技委会</w:t>
      </w:r>
    </w:p>
    <w:p>
      <w:pPr>
        <w:widowControl/>
        <w:snapToGrid w:val="0"/>
        <w:spacing w:line="360" w:lineRule="auto"/>
        <w:jc w:val="center"/>
        <w:rPr>
          <w:b/>
          <w:color w:val="auto"/>
          <w:sz w:val="28"/>
          <w:szCs w:val="28"/>
        </w:rPr>
      </w:pPr>
      <w:r>
        <w:rPr>
          <w:rFonts w:hint="eastAsia"/>
          <w:b/>
          <w:color w:val="auto"/>
          <w:sz w:val="28"/>
          <w:szCs w:val="28"/>
        </w:rPr>
        <w:t>审核：刘建波</w:t>
      </w:r>
    </w:p>
    <w:p>
      <w:pPr>
        <w:widowControl/>
        <w:snapToGrid w:val="0"/>
        <w:spacing w:line="360" w:lineRule="auto"/>
        <w:jc w:val="center"/>
        <w:rPr>
          <w:b/>
          <w:color w:val="auto"/>
          <w:sz w:val="28"/>
          <w:szCs w:val="28"/>
        </w:rPr>
      </w:pPr>
      <w:r>
        <w:rPr>
          <w:rFonts w:hint="eastAsia"/>
          <w:b/>
          <w:color w:val="auto"/>
          <w:sz w:val="28"/>
          <w:szCs w:val="28"/>
        </w:rPr>
        <w:t>批准：庹小勇</w:t>
      </w:r>
    </w:p>
    <w:p>
      <w:pPr>
        <w:widowControl/>
        <w:snapToGrid w:val="0"/>
        <w:spacing w:after="62" w:afterLines="20"/>
        <w:rPr>
          <w:b/>
          <w:color w:val="auto"/>
          <w:sz w:val="28"/>
          <w:szCs w:val="28"/>
        </w:rPr>
      </w:pPr>
    </w:p>
    <w:p>
      <w:pPr>
        <w:widowControl/>
        <w:snapToGrid w:val="0"/>
        <w:spacing w:after="62" w:afterLines="20"/>
        <w:rPr>
          <w:b/>
          <w:color w:val="auto"/>
          <w:sz w:val="28"/>
          <w:szCs w:val="28"/>
        </w:rPr>
      </w:pPr>
      <w:r>
        <w:rPr>
          <w:b/>
          <w:color w:val="auto"/>
          <w:sz w:val="28"/>
          <w:szCs w:val="28"/>
        </w:rPr>
        <w:t xml:space="preserve">                         </w:t>
      </w:r>
    </w:p>
    <w:p>
      <w:pPr>
        <w:widowControl/>
        <w:spacing w:before="468" w:beforeLines="150"/>
        <w:jc w:val="center"/>
        <w:rPr>
          <w:rFonts w:ascii="黑体" w:hAnsi="黑体" w:eastAsia="黑体"/>
          <w:b/>
          <w:color w:val="auto"/>
          <w:sz w:val="28"/>
        </w:rPr>
      </w:pPr>
      <w:r>
        <w:rPr>
          <w:rFonts w:hint="eastAsia" w:ascii="黑体" w:hAnsi="黑体" w:eastAsia="黑体"/>
          <w:b/>
          <w:color w:val="auto"/>
          <w:sz w:val="28"/>
        </w:rPr>
        <w:t>中澜认证有限公司</w:t>
      </w:r>
      <w:r>
        <w:rPr>
          <w:rFonts w:ascii="黑体" w:hAnsi="黑体" w:eastAsia="黑体"/>
          <w:b/>
          <w:color w:val="auto"/>
          <w:sz w:val="28"/>
        </w:rPr>
        <w:t xml:space="preserve">    </w:t>
      </w:r>
      <w:bookmarkEnd w:id="1"/>
    </w:p>
    <w:p>
      <w:pPr>
        <w:rPr>
          <w:color w:val="auto"/>
        </w:rPr>
      </w:pPr>
      <w:r>
        <w:rPr>
          <w:rFonts w:ascii="黑体" w:hAnsi="黑体" w:eastAsia="黑体"/>
          <w:b/>
          <w:color w:val="auto"/>
          <w:sz w:val="28"/>
        </w:rPr>
        <w:pict>
          <v:group id="组合 16" o:spid="_x0000_s1029" o:spt="203" style="position:absolute;left:0pt;flip:y;margin-left:7.05pt;margin-top:0.6pt;height:6pt;width:443.9pt;z-index:251659264;mso-width-relative:page;mso-height-relative:page;" coordorigin="1673,14711" coordsize="8504,40">
            <o:lock v:ext="edit"/>
            <v:shape id="AutoShape 28" o:spid="_x0000_s1027" o:spt="32" type="#_x0000_t32" style="position:absolute;left:1673;top:14751;flip:y;height:0;width:8504;" filled="f" coordsize="21600,21600" o:gfxdata="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mbnEugAAANsA&#10;AAAPAAAAAAAAAAEAIAAAACIAAABkcnMvZG93bnJldi54bWxQSwECFAAUAAAACACHTuJAMy8FnjsA&#10;AAA5AAAAEAAAAAAAAAABACAAAAAJAQAAZHJzL3NoYXBleG1sLnhtbFBLBQYAAAAABgAGAFsBAACz&#10;AwAAAAA=&#10;">
              <v:path arrowok="t"/>
              <v:fill on="f" focussize="0,0"/>
              <v:stroke weight="1.5pt"/>
              <v:imagedata o:title=""/>
              <o:lock v:ext="edit"/>
            </v:shape>
            <v:shape id="AutoShape 29" o:spid="_x0000_s1028" o:spt="32" type="#_x0000_t32" style="position:absolute;left:1673;top:14711;flip:y;height:0;width:8504;" filled="f" coordsize="21600,21600" o:gfxdata="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4cfO+8AAAA&#10;2wAAAA8AAAAAAAAAAQAgAAAAIgAAAGRycy9kb3ducmV2LnhtbFBLAQIUABQAAAAIAIdO4kAzLwWe&#10;OwAAADkAAAAQAAAAAAAAAAEAIAAAAAsBAABkcnMvc2hhcGV4bWwueG1sUEsFBgAAAAAGAAYAWwEA&#10;ALUDAAAAAA==&#10;">
              <v:path arrowok="t"/>
              <v:fill on="f" focussize="0,0"/>
              <v:stroke/>
              <v:imagedata o:title=""/>
              <o:lock v:ext="edit"/>
            </v:shape>
          </v:group>
        </w:pict>
      </w:r>
    </w:p>
    <w:p>
      <w:pPr>
        <w:tabs>
          <w:tab w:val="left" w:pos="1506"/>
        </w:tabs>
        <w:jc w:val="center"/>
        <w:rPr>
          <w:rFonts w:ascii="宋体" w:hAnsi="宋体" w:eastAsia="宋体" w:cs="宋体"/>
          <w:b/>
          <w:color w:val="auto"/>
        </w:rPr>
      </w:pPr>
      <w:r>
        <w:rPr>
          <w:rFonts w:hint="eastAsia" w:ascii="宋体" w:hAnsi="宋体" w:eastAsia="宋体" w:cs="宋体"/>
          <w:b/>
          <w:color w:val="auto"/>
          <w:lang w:val="en-US" w:eastAsia="zh-CN"/>
        </w:rPr>
        <w:t>发布</w:t>
      </w:r>
      <w:r>
        <w:rPr>
          <w:rFonts w:hint="eastAsia" w:ascii="宋体" w:hAnsi="宋体" w:eastAsia="宋体" w:cs="宋体"/>
          <w:b/>
          <w:color w:val="auto"/>
        </w:rPr>
        <w:t>日期：</w:t>
      </w:r>
      <w:r>
        <w:rPr>
          <w:rFonts w:hint="eastAsia" w:ascii="宋体" w:hAnsi="宋体" w:eastAsia="宋体" w:cs="宋体"/>
          <w:b/>
          <w:color w:val="auto"/>
        </w:rPr>
        <w:t>20</w:t>
      </w:r>
      <w:r>
        <w:rPr>
          <w:rFonts w:hint="eastAsia" w:ascii="宋体" w:hAnsi="宋体" w:cs="宋体"/>
          <w:b/>
          <w:color w:val="auto"/>
        </w:rPr>
        <w:t>22</w:t>
      </w:r>
      <w:r>
        <w:rPr>
          <w:rFonts w:hint="eastAsia" w:ascii="宋体" w:hAnsi="宋体" w:eastAsia="宋体" w:cs="宋体"/>
          <w:b/>
          <w:color w:val="auto"/>
        </w:rPr>
        <w:t>年</w:t>
      </w:r>
      <w:r>
        <w:rPr>
          <w:rFonts w:hint="eastAsia" w:ascii="宋体" w:hAnsi="宋体" w:cs="宋体"/>
          <w:b/>
          <w:color w:val="auto"/>
        </w:rPr>
        <w:t>0</w:t>
      </w:r>
      <w:r>
        <w:rPr>
          <w:rFonts w:hint="eastAsia" w:ascii="宋体" w:hAnsi="宋体" w:cs="宋体"/>
          <w:b/>
          <w:color w:val="auto"/>
          <w:lang w:val="en-US" w:eastAsia="zh-CN"/>
        </w:rPr>
        <w:t>7</w:t>
      </w:r>
      <w:r>
        <w:rPr>
          <w:rFonts w:hint="eastAsia" w:ascii="宋体" w:hAnsi="宋体" w:eastAsia="宋体" w:cs="宋体"/>
          <w:b/>
          <w:color w:val="auto"/>
        </w:rPr>
        <w:t>月</w:t>
      </w:r>
      <w:r>
        <w:rPr>
          <w:rFonts w:hint="eastAsia" w:ascii="宋体" w:hAnsi="宋体" w:cs="宋体"/>
          <w:b/>
          <w:color w:val="auto"/>
        </w:rPr>
        <w:t>2</w:t>
      </w:r>
      <w:r>
        <w:rPr>
          <w:rFonts w:hint="eastAsia" w:ascii="宋体" w:hAnsi="宋体" w:cs="宋体"/>
          <w:b/>
          <w:color w:val="auto"/>
          <w:lang w:val="en-US" w:eastAsia="zh-CN"/>
        </w:rPr>
        <w:t>4</w:t>
      </w:r>
      <w:r>
        <w:rPr>
          <w:rFonts w:hint="eastAsia" w:ascii="宋体" w:hAnsi="宋体" w:eastAsia="宋体" w:cs="宋体"/>
          <w:b/>
          <w:color w:val="auto"/>
        </w:rPr>
        <w:t>日</w:t>
      </w:r>
      <w:r>
        <w:rPr>
          <w:rFonts w:hint="eastAsia" w:ascii="宋体" w:hAnsi="宋体" w:cs="宋体"/>
          <w:b/>
          <w:color w:val="auto"/>
        </w:rPr>
        <w:t xml:space="preserve">                        </w:t>
      </w:r>
      <w:r>
        <w:rPr>
          <w:rFonts w:hint="eastAsia" w:ascii="宋体" w:hAnsi="宋体" w:eastAsia="宋体" w:cs="宋体"/>
          <w:b/>
          <w:color w:val="auto"/>
        </w:rPr>
        <w:t xml:space="preserve">  </w:t>
      </w:r>
      <w:r>
        <w:rPr>
          <w:rFonts w:hint="eastAsia" w:ascii="宋体" w:hAnsi="宋体" w:eastAsia="宋体" w:cs="宋体"/>
          <w:b/>
          <w:color w:val="auto"/>
          <w:lang w:val="en-US" w:eastAsia="zh-CN"/>
        </w:rPr>
        <w:t>实施</w:t>
      </w:r>
      <w:r>
        <w:rPr>
          <w:rFonts w:hint="eastAsia" w:ascii="宋体" w:hAnsi="宋体" w:eastAsia="宋体" w:cs="宋体"/>
          <w:b/>
          <w:color w:val="auto"/>
        </w:rPr>
        <w:t>日期：20</w:t>
      </w:r>
      <w:r>
        <w:rPr>
          <w:rFonts w:hint="eastAsia" w:ascii="宋体" w:hAnsi="宋体" w:cs="宋体"/>
          <w:b/>
          <w:color w:val="auto"/>
        </w:rPr>
        <w:t>22</w:t>
      </w:r>
      <w:r>
        <w:rPr>
          <w:rFonts w:hint="eastAsia" w:ascii="宋体" w:hAnsi="宋体" w:eastAsia="宋体" w:cs="宋体"/>
          <w:b/>
          <w:color w:val="auto"/>
        </w:rPr>
        <w:t>年</w:t>
      </w:r>
      <w:r>
        <w:rPr>
          <w:rFonts w:hint="eastAsia" w:ascii="宋体" w:hAnsi="宋体" w:cs="宋体"/>
          <w:b/>
          <w:color w:val="auto"/>
        </w:rPr>
        <w:t>0</w:t>
      </w:r>
      <w:r>
        <w:rPr>
          <w:rFonts w:hint="eastAsia" w:ascii="宋体" w:hAnsi="宋体" w:cs="宋体"/>
          <w:b/>
          <w:color w:val="auto"/>
          <w:lang w:val="en-US" w:eastAsia="zh-CN"/>
        </w:rPr>
        <w:t>7</w:t>
      </w:r>
      <w:r>
        <w:rPr>
          <w:rFonts w:hint="eastAsia" w:ascii="宋体" w:hAnsi="宋体" w:eastAsia="宋体" w:cs="宋体"/>
          <w:b/>
          <w:color w:val="auto"/>
        </w:rPr>
        <w:t>月</w:t>
      </w:r>
      <w:r>
        <w:rPr>
          <w:rFonts w:hint="eastAsia" w:ascii="宋体" w:hAnsi="宋体" w:cs="宋体"/>
          <w:b/>
          <w:color w:val="auto"/>
        </w:rPr>
        <w:t>2</w:t>
      </w:r>
      <w:r>
        <w:rPr>
          <w:rFonts w:hint="eastAsia" w:ascii="宋体" w:hAnsi="宋体" w:cs="宋体"/>
          <w:b/>
          <w:color w:val="auto"/>
          <w:lang w:val="en-US" w:eastAsia="zh-CN"/>
        </w:rPr>
        <w:t>4</w:t>
      </w:r>
      <w:r>
        <w:rPr>
          <w:rFonts w:hint="eastAsia" w:ascii="宋体" w:hAnsi="宋体" w:eastAsia="宋体" w:cs="宋体"/>
          <w:b/>
          <w:color w:val="auto"/>
        </w:rPr>
        <w:t>日</w:t>
      </w:r>
      <w:r>
        <w:rPr>
          <w:rFonts w:hint="eastAsia" w:ascii="宋体" w:hAnsi="宋体" w:cs="宋体"/>
          <w:b/>
          <w:color w:val="auto"/>
        </w:rPr>
        <w:t xml:space="preserve"> </w:t>
      </w:r>
      <w:r>
        <w:rPr>
          <w:rFonts w:hint="eastAsia" w:ascii="宋体" w:hAnsi="宋体" w:cs="宋体"/>
          <w:b/>
          <w:color w:val="auto"/>
        </w:rPr>
        <w:t xml:space="preserve"> </w:t>
      </w:r>
    </w:p>
    <w:p>
      <w:pPr>
        <w:pStyle w:val="3"/>
        <w:kinsoku w:val="0"/>
        <w:overflowPunct w:val="0"/>
        <w:spacing w:line="416" w:lineRule="exact"/>
        <w:jc w:val="center"/>
        <w:rPr>
          <w:color w:val="auto"/>
          <w:spacing w:val="1"/>
        </w:rPr>
        <w:sectPr>
          <w:headerReference r:id="rId4" w:type="first"/>
          <w:headerReference r:id="rId3" w:type="default"/>
          <w:pgSz w:w="11900" w:h="16840"/>
          <w:pgMar w:top="1440" w:right="1293" w:bottom="1440" w:left="1293" w:header="851" w:footer="992" w:gutter="0"/>
          <w:pgNumType w:start="1"/>
          <w:cols w:space="425" w:num="1"/>
          <w:titlePg/>
          <w:docGrid w:type="lines" w:linePitch="312" w:charSpace="0"/>
        </w:sectPr>
      </w:pPr>
    </w:p>
    <w:p>
      <w:pPr>
        <w:pStyle w:val="3"/>
        <w:kinsoku w:val="0"/>
        <w:overflowPunct w:val="0"/>
        <w:spacing w:line="416" w:lineRule="exact"/>
        <w:jc w:val="center"/>
        <w:rPr>
          <w:color w:val="auto"/>
          <w:spacing w:val="1"/>
        </w:rPr>
      </w:pPr>
    </w:p>
    <w:p>
      <w:pPr>
        <w:pStyle w:val="3"/>
        <w:kinsoku w:val="0"/>
        <w:overflowPunct w:val="0"/>
        <w:spacing w:line="416" w:lineRule="exact"/>
        <w:jc w:val="center"/>
        <w:rPr>
          <w:b/>
          <w:bCs/>
          <w:color w:val="auto"/>
          <w:spacing w:val="1"/>
        </w:rPr>
      </w:pPr>
      <w:r>
        <w:rPr>
          <w:rFonts w:hint="eastAsia"/>
          <w:b/>
          <w:bCs/>
          <w:color w:val="auto"/>
          <w:spacing w:val="1"/>
        </w:rPr>
        <w:t>文件修订日志</w:t>
      </w:r>
    </w:p>
    <w:p>
      <w:pPr>
        <w:pStyle w:val="3"/>
        <w:kinsoku w:val="0"/>
        <w:overflowPunct w:val="0"/>
        <w:spacing w:line="416" w:lineRule="exact"/>
        <w:jc w:val="center"/>
        <w:rPr>
          <w:b/>
          <w:bCs/>
          <w:color w:val="auto"/>
          <w:spacing w:val="1"/>
        </w:rPr>
      </w:pPr>
    </w:p>
    <w:tbl>
      <w:tblPr>
        <w:tblStyle w:val="9"/>
        <w:tblW w:w="9017" w:type="dxa"/>
        <w:tblInd w:w="1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3840"/>
        <w:gridCol w:w="917"/>
        <w:gridCol w:w="976"/>
        <w:gridCol w:w="1032"/>
        <w:gridCol w:w="12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60" w:type="dxa"/>
            <w:vAlign w:val="center"/>
          </w:tcPr>
          <w:p>
            <w:pPr>
              <w:spacing w:before="16" w:after="16"/>
              <w:jc w:val="center"/>
              <w:rPr>
                <w:rFonts w:ascii="仿宋" w:hAnsi="仿宋" w:eastAsia="仿宋" w:cs="仿宋"/>
                <w:b/>
                <w:color w:val="auto"/>
                <w:sz w:val="21"/>
                <w:szCs w:val="21"/>
              </w:rPr>
            </w:pPr>
            <w:r>
              <w:rPr>
                <w:rFonts w:hint="eastAsia" w:ascii="仿宋" w:hAnsi="仿宋" w:eastAsia="仿宋" w:cs="仿宋"/>
                <w:b/>
                <w:color w:val="auto"/>
                <w:sz w:val="21"/>
                <w:szCs w:val="21"/>
              </w:rPr>
              <w:t>版次</w:t>
            </w:r>
          </w:p>
        </w:tc>
        <w:tc>
          <w:tcPr>
            <w:tcW w:w="3840" w:type="dxa"/>
            <w:vAlign w:val="center"/>
          </w:tcPr>
          <w:p>
            <w:pPr>
              <w:spacing w:before="16" w:after="16"/>
              <w:jc w:val="center"/>
              <w:rPr>
                <w:rFonts w:ascii="仿宋" w:hAnsi="仿宋" w:eastAsia="仿宋" w:cs="仿宋"/>
                <w:b/>
                <w:color w:val="auto"/>
                <w:sz w:val="21"/>
                <w:szCs w:val="21"/>
              </w:rPr>
            </w:pPr>
            <w:r>
              <w:rPr>
                <w:rFonts w:hint="eastAsia" w:ascii="仿宋" w:hAnsi="仿宋" w:eastAsia="仿宋" w:cs="仿宋"/>
                <w:b/>
                <w:color w:val="auto"/>
                <w:sz w:val="21"/>
                <w:szCs w:val="21"/>
              </w:rPr>
              <w:t>修改内容摘要</w:t>
            </w:r>
          </w:p>
        </w:tc>
        <w:tc>
          <w:tcPr>
            <w:tcW w:w="917" w:type="dxa"/>
            <w:vAlign w:val="center"/>
          </w:tcPr>
          <w:p>
            <w:pPr>
              <w:spacing w:before="16" w:after="16"/>
              <w:jc w:val="both"/>
              <w:rPr>
                <w:rFonts w:ascii="仿宋" w:hAnsi="仿宋" w:eastAsia="仿宋" w:cs="仿宋"/>
                <w:b/>
                <w:color w:val="auto"/>
                <w:sz w:val="21"/>
                <w:szCs w:val="21"/>
              </w:rPr>
            </w:pPr>
            <w:r>
              <w:rPr>
                <w:rFonts w:hint="eastAsia" w:ascii="仿宋" w:hAnsi="仿宋" w:eastAsia="仿宋" w:cs="仿宋"/>
                <w:b/>
                <w:color w:val="auto"/>
                <w:sz w:val="21"/>
                <w:szCs w:val="21"/>
              </w:rPr>
              <w:t>编制人</w:t>
            </w:r>
          </w:p>
        </w:tc>
        <w:tc>
          <w:tcPr>
            <w:tcW w:w="976" w:type="dxa"/>
            <w:vAlign w:val="center"/>
          </w:tcPr>
          <w:p>
            <w:pPr>
              <w:spacing w:before="16" w:after="16"/>
              <w:jc w:val="center"/>
              <w:rPr>
                <w:rFonts w:ascii="仿宋" w:hAnsi="仿宋" w:eastAsia="仿宋" w:cs="仿宋"/>
                <w:b/>
                <w:color w:val="auto"/>
                <w:sz w:val="21"/>
                <w:szCs w:val="21"/>
              </w:rPr>
            </w:pPr>
            <w:r>
              <w:rPr>
                <w:rFonts w:hint="eastAsia" w:ascii="仿宋" w:hAnsi="仿宋" w:eastAsia="仿宋" w:cs="仿宋"/>
                <w:b/>
                <w:color w:val="auto"/>
                <w:sz w:val="21"/>
                <w:szCs w:val="21"/>
              </w:rPr>
              <w:t>审核人</w:t>
            </w:r>
          </w:p>
        </w:tc>
        <w:tc>
          <w:tcPr>
            <w:tcW w:w="1032" w:type="dxa"/>
            <w:vAlign w:val="center"/>
          </w:tcPr>
          <w:p>
            <w:pPr>
              <w:spacing w:before="16" w:after="16"/>
              <w:jc w:val="center"/>
              <w:rPr>
                <w:rFonts w:ascii="仿宋" w:hAnsi="仿宋" w:eastAsia="仿宋" w:cs="仿宋"/>
                <w:b/>
                <w:color w:val="auto"/>
                <w:sz w:val="21"/>
                <w:szCs w:val="21"/>
              </w:rPr>
            </w:pPr>
            <w:r>
              <w:rPr>
                <w:rFonts w:hint="eastAsia" w:ascii="仿宋" w:hAnsi="仿宋" w:eastAsia="仿宋" w:cs="仿宋"/>
                <w:b/>
                <w:color w:val="auto"/>
                <w:sz w:val="21"/>
                <w:szCs w:val="21"/>
              </w:rPr>
              <w:t>批准人</w:t>
            </w:r>
          </w:p>
        </w:tc>
        <w:tc>
          <w:tcPr>
            <w:tcW w:w="1292" w:type="dxa"/>
            <w:vAlign w:val="center"/>
          </w:tcPr>
          <w:p>
            <w:pPr>
              <w:spacing w:before="16" w:after="16"/>
              <w:jc w:val="center"/>
              <w:rPr>
                <w:rFonts w:ascii="仿宋" w:hAnsi="仿宋" w:eastAsia="仿宋" w:cs="仿宋"/>
                <w:b/>
                <w:color w:val="auto"/>
                <w:kern w:val="2"/>
                <w:sz w:val="21"/>
                <w:szCs w:val="21"/>
              </w:rPr>
            </w:pPr>
            <w:r>
              <w:rPr>
                <w:rFonts w:hint="eastAsia" w:ascii="仿宋" w:hAnsi="仿宋" w:eastAsia="仿宋" w:cs="仿宋"/>
                <w:b/>
                <w:color w:val="auto"/>
                <w:sz w:val="21"/>
                <w:szCs w:val="21"/>
              </w:rPr>
              <w:t>实施日期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960" w:type="dxa"/>
            <w:vAlign w:val="center"/>
          </w:tcPr>
          <w:p>
            <w:pPr>
              <w:spacing w:before="16" w:after="16"/>
              <w:jc w:val="center"/>
              <w:rPr>
                <w:rFonts w:ascii="仿宋" w:hAnsi="仿宋" w:eastAsia="仿宋" w:cs="仿宋"/>
                <w:bCs/>
                <w:color w:val="auto"/>
                <w:kern w:val="2"/>
                <w:sz w:val="21"/>
                <w:szCs w:val="21"/>
              </w:rPr>
            </w:pPr>
            <w:r>
              <w:rPr>
                <w:rFonts w:hint="eastAsia" w:ascii="仿宋" w:hAnsi="仿宋" w:eastAsia="仿宋" w:cs="仿宋"/>
                <w:bCs/>
                <w:color w:val="auto"/>
                <w:sz w:val="21"/>
                <w:szCs w:val="21"/>
              </w:rPr>
              <w:t>A/0</w:t>
            </w:r>
          </w:p>
        </w:tc>
        <w:tc>
          <w:tcPr>
            <w:tcW w:w="3840" w:type="dxa"/>
            <w:vAlign w:val="center"/>
          </w:tcPr>
          <w:p>
            <w:pPr>
              <w:spacing w:before="16" w:after="16"/>
              <w:jc w:val="both"/>
              <w:rPr>
                <w:rFonts w:ascii="仿宋" w:hAnsi="仿宋" w:eastAsia="仿宋" w:cs="仿宋"/>
                <w:bCs/>
                <w:color w:val="auto"/>
                <w:kern w:val="2"/>
                <w:sz w:val="21"/>
                <w:szCs w:val="21"/>
              </w:rPr>
            </w:pPr>
          </w:p>
        </w:tc>
        <w:tc>
          <w:tcPr>
            <w:tcW w:w="917" w:type="dxa"/>
            <w:vAlign w:val="center"/>
          </w:tcPr>
          <w:p>
            <w:pPr>
              <w:spacing w:before="16" w:after="16"/>
              <w:jc w:val="center"/>
              <w:rPr>
                <w:rFonts w:ascii="仿宋" w:hAnsi="仿宋" w:eastAsia="仿宋" w:cs="仿宋"/>
                <w:bCs/>
                <w:color w:val="auto"/>
                <w:kern w:val="2"/>
                <w:sz w:val="21"/>
                <w:szCs w:val="21"/>
              </w:rPr>
            </w:pPr>
            <w:r>
              <w:rPr>
                <w:rFonts w:hint="eastAsia" w:ascii="仿宋" w:hAnsi="仿宋" w:eastAsia="仿宋" w:cs="仿宋"/>
                <w:bCs/>
                <w:color w:val="auto"/>
                <w:sz w:val="21"/>
                <w:szCs w:val="21"/>
              </w:rPr>
              <w:t>方婷</w:t>
            </w:r>
          </w:p>
        </w:tc>
        <w:tc>
          <w:tcPr>
            <w:tcW w:w="976" w:type="dxa"/>
            <w:vAlign w:val="center"/>
          </w:tcPr>
          <w:p>
            <w:pPr>
              <w:spacing w:before="16" w:after="16"/>
              <w:jc w:val="center"/>
              <w:rPr>
                <w:rFonts w:ascii="仿宋" w:hAnsi="仿宋" w:eastAsia="仿宋" w:cs="仿宋"/>
                <w:bCs/>
                <w:color w:val="auto"/>
                <w:kern w:val="2"/>
                <w:sz w:val="21"/>
                <w:szCs w:val="21"/>
              </w:rPr>
            </w:pPr>
            <w:r>
              <w:rPr>
                <w:rFonts w:hint="eastAsia" w:ascii="仿宋" w:hAnsi="仿宋" w:eastAsia="仿宋" w:cs="仿宋"/>
                <w:bCs/>
                <w:color w:val="auto"/>
                <w:sz w:val="21"/>
                <w:szCs w:val="21"/>
              </w:rPr>
              <w:t>庹小勇</w:t>
            </w:r>
          </w:p>
        </w:tc>
        <w:tc>
          <w:tcPr>
            <w:tcW w:w="1032" w:type="dxa"/>
            <w:tcBorders>
              <w:bottom w:val="single" w:color="auto" w:sz="4" w:space="0"/>
            </w:tcBorders>
            <w:vAlign w:val="center"/>
          </w:tcPr>
          <w:p>
            <w:pPr>
              <w:spacing w:before="16" w:after="16"/>
              <w:jc w:val="center"/>
              <w:rPr>
                <w:rFonts w:ascii="仿宋" w:hAnsi="仿宋" w:eastAsia="仿宋" w:cs="仿宋"/>
                <w:bCs/>
                <w:color w:val="auto"/>
                <w:kern w:val="2"/>
                <w:sz w:val="21"/>
                <w:szCs w:val="21"/>
              </w:rPr>
            </w:pPr>
            <w:r>
              <w:rPr>
                <w:rFonts w:hint="eastAsia" w:ascii="仿宋" w:hAnsi="仿宋" w:eastAsia="仿宋" w:cs="仿宋"/>
                <w:bCs/>
                <w:color w:val="auto"/>
                <w:sz w:val="21"/>
                <w:szCs w:val="21"/>
              </w:rPr>
              <w:t>庹小勇</w:t>
            </w:r>
          </w:p>
        </w:tc>
        <w:tc>
          <w:tcPr>
            <w:tcW w:w="1292" w:type="dxa"/>
            <w:tcBorders>
              <w:bottom w:val="single" w:color="auto" w:sz="4" w:space="0"/>
            </w:tcBorders>
            <w:vAlign w:val="center"/>
          </w:tcPr>
          <w:p>
            <w:pPr>
              <w:spacing w:before="16" w:after="16"/>
              <w:jc w:val="center"/>
              <w:rPr>
                <w:rFonts w:ascii="仿宋" w:hAnsi="仿宋" w:eastAsia="仿宋" w:cs="仿宋"/>
                <w:bCs/>
                <w:color w:val="auto"/>
                <w:kern w:val="2"/>
                <w:sz w:val="21"/>
                <w:szCs w:val="21"/>
              </w:rPr>
            </w:pPr>
            <w:r>
              <w:rPr>
                <w:rFonts w:hint="eastAsia" w:ascii="仿宋" w:hAnsi="仿宋" w:eastAsia="仿宋" w:cs="仿宋"/>
                <w:bCs/>
                <w:color w:val="auto"/>
                <w:sz w:val="21"/>
                <w:szCs w:val="21"/>
              </w:rPr>
              <w:t>2019.04.05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960" w:type="dxa"/>
            <w:vAlign w:val="center"/>
          </w:tcPr>
          <w:p>
            <w:pPr>
              <w:spacing w:before="16" w:after="16"/>
              <w:jc w:val="center"/>
              <w:rPr>
                <w:rFonts w:ascii="仿宋" w:hAnsi="仿宋" w:eastAsia="仿宋" w:cs="仿宋"/>
                <w:bCs/>
                <w:color w:val="auto"/>
                <w:sz w:val="21"/>
                <w:szCs w:val="21"/>
              </w:rPr>
            </w:pPr>
            <w:r>
              <w:rPr>
                <w:rFonts w:hint="eastAsia" w:ascii="仿宋" w:hAnsi="仿宋" w:eastAsia="仿宋" w:cs="仿宋"/>
                <w:bCs/>
                <w:color w:val="auto"/>
              </w:rPr>
              <w:t>B</w:t>
            </w:r>
            <w:r>
              <w:rPr>
                <w:rFonts w:hint="eastAsia" w:ascii="仿宋" w:hAnsi="仿宋" w:eastAsia="仿宋" w:cs="仿宋"/>
                <w:bCs/>
                <w:color w:val="auto"/>
                <w:sz w:val="21"/>
                <w:szCs w:val="21"/>
              </w:rPr>
              <w:t>/0</w:t>
            </w:r>
          </w:p>
        </w:tc>
        <w:tc>
          <w:tcPr>
            <w:tcW w:w="3840" w:type="dxa"/>
            <w:vAlign w:val="center"/>
          </w:tcPr>
          <w:p>
            <w:pPr>
              <w:spacing w:before="16" w:after="16"/>
              <w:jc w:val="both"/>
              <w:rPr>
                <w:rFonts w:ascii="仿宋" w:hAnsi="仿宋" w:eastAsia="仿宋" w:cs="仿宋"/>
                <w:bCs/>
                <w:color w:val="auto"/>
                <w:sz w:val="21"/>
                <w:szCs w:val="21"/>
              </w:rPr>
            </w:pPr>
            <w:r>
              <w:rPr>
                <w:rFonts w:hint="eastAsia" w:ascii="仿宋" w:hAnsi="仿宋" w:eastAsia="仿宋" w:cs="仿宋"/>
                <w:bCs/>
                <w:color w:val="auto"/>
                <w:sz w:val="21"/>
                <w:szCs w:val="21"/>
              </w:rPr>
              <w:t>文件换版，更换版本号。</w:t>
            </w:r>
          </w:p>
        </w:tc>
        <w:tc>
          <w:tcPr>
            <w:tcW w:w="917" w:type="dxa"/>
            <w:vAlign w:val="center"/>
          </w:tcPr>
          <w:p>
            <w:pPr>
              <w:spacing w:before="16" w:after="16"/>
              <w:jc w:val="center"/>
              <w:rPr>
                <w:rFonts w:ascii="仿宋" w:hAnsi="仿宋" w:eastAsia="仿宋" w:cs="仿宋"/>
                <w:bCs/>
                <w:color w:val="auto"/>
                <w:sz w:val="21"/>
                <w:szCs w:val="21"/>
              </w:rPr>
            </w:pPr>
            <w:r>
              <w:rPr>
                <w:rFonts w:hint="eastAsia" w:ascii="仿宋" w:hAnsi="仿宋" w:eastAsia="仿宋" w:cs="仿宋"/>
                <w:bCs/>
                <w:color w:val="auto"/>
                <w:sz w:val="21"/>
                <w:szCs w:val="21"/>
              </w:rPr>
              <w:t>方婷</w:t>
            </w:r>
          </w:p>
        </w:tc>
        <w:tc>
          <w:tcPr>
            <w:tcW w:w="976" w:type="dxa"/>
            <w:vAlign w:val="center"/>
          </w:tcPr>
          <w:p>
            <w:pPr>
              <w:spacing w:before="16" w:after="16"/>
              <w:jc w:val="center"/>
              <w:rPr>
                <w:rFonts w:ascii="仿宋" w:hAnsi="仿宋" w:eastAsia="仿宋" w:cs="仿宋"/>
                <w:bCs/>
                <w:color w:val="auto"/>
                <w:sz w:val="21"/>
                <w:szCs w:val="21"/>
              </w:rPr>
            </w:pPr>
            <w:r>
              <w:rPr>
                <w:rFonts w:hint="eastAsia" w:ascii="仿宋" w:hAnsi="仿宋" w:eastAsia="仿宋" w:cs="仿宋"/>
                <w:bCs/>
                <w:color w:val="auto"/>
                <w:sz w:val="21"/>
                <w:szCs w:val="21"/>
              </w:rPr>
              <w:t>庹小勇</w:t>
            </w:r>
          </w:p>
        </w:tc>
        <w:tc>
          <w:tcPr>
            <w:tcW w:w="1032" w:type="dxa"/>
            <w:vAlign w:val="center"/>
          </w:tcPr>
          <w:p>
            <w:pPr>
              <w:spacing w:before="16" w:after="16"/>
              <w:jc w:val="center"/>
              <w:rPr>
                <w:rFonts w:ascii="仿宋" w:hAnsi="仿宋" w:eastAsia="仿宋" w:cs="仿宋"/>
                <w:bCs/>
                <w:color w:val="auto"/>
                <w:sz w:val="21"/>
                <w:szCs w:val="21"/>
              </w:rPr>
            </w:pPr>
            <w:r>
              <w:rPr>
                <w:rFonts w:hint="eastAsia" w:ascii="仿宋" w:hAnsi="仿宋" w:eastAsia="仿宋" w:cs="仿宋"/>
                <w:bCs/>
                <w:color w:val="auto"/>
                <w:sz w:val="21"/>
                <w:szCs w:val="21"/>
              </w:rPr>
              <w:t>庹小勇</w:t>
            </w:r>
          </w:p>
        </w:tc>
        <w:tc>
          <w:tcPr>
            <w:tcW w:w="1292" w:type="dxa"/>
            <w:vAlign w:val="center"/>
          </w:tcPr>
          <w:p>
            <w:pPr>
              <w:spacing w:before="16" w:after="16"/>
              <w:jc w:val="center"/>
              <w:rPr>
                <w:rFonts w:ascii="仿宋" w:hAnsi="仿宋" w:eastAsia="仿宋" w:cs="仿宋"/>
                <w:bCs/>
                <w:color w:val="auto"/>
                <w:kern w:val="2"/>
                <w:sz w:val="21"/>
                <w:szCs w:val="21"/>
              </w:rPr>
            </w:pPr>
            <w:r>
              <w:rPr>
                <w:rFonts w:hint="eastAsia" w:ascii="仿宋" w:hAnsi="仿宋" w:eastAsia="仿宋" w:cs="仿宋"/>
                <w:bCs/>
                <w:color w:val="auto"/>
                <w:sz w:val="21"/>
                <w:szCs w:val="21"/>
              </w:rPr>
              <w:t>2019.10.05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960" w:type="dxa"/>
            <w:vAlign w:val="center"/>
          </w:tcPr>
          <w:p>
            <w:pPr>
              <w:spacing w:before="16" w:after="16"/>
              <w:jc w:val="center"/>
              <w:rPr>
                <w:rFonts w:ascii="仿宋" w:hAnsi="仿宋" w:eastAsia="仿宋" w:cs="仿宋"/>
                <w:bCs/>
                <w:color w:val="auto"/>
              </w:rPr>
            </w:pPr>
            <w:r>
              <w:rPr>
                <w:rFonts w:hint="eastAsia" w:ascii="仿宋" w:hAnsi="仿宋" w:eastAsia="仿宋" w:cs="仿宋"/>
                <w:bCs/>
                <w:color w:val="auto"/>
              </w:rPr>
              <w:t>B/1</w:t>
            </w:r>
          </w:p>
        </w:tc>
        <w:tc>
          <w:tcPr>
            <w:tcW w:w="3840" w:type="dxa"/>
            <w:vAlign w:val="center"/>
          </w:tcPr>
          <w:p>
            <w:pPr>
              <w:spacing w:before="16" w:after="16"/>
              <w:jc w:val="both"/>
              <w:rPr>
                <w:rFonts w:ascii="仿宋" w:hAnsi="仿宋" w:eastAsia="仿宋" w:cs="仿宋"/>
                <w:bCs/>
                <w:color w:val="auto"/>
                <w:sz w:val="21"/>
                <w:szCs w:val="21"/>
              </w:rPr>
            </w:pPr>
            <w:r>
              <w:rPr>
                <w:rFonts w:hint="eastAsia" w:ascii="仿宋" w:hAnsi="仿宋" w:eastAsia="仿宋" w:cs="仿宋"/>
                <w:bCs/>
                <w:color w:val="auto"/>
                <w:sz w:val="21"/>
                <w:szCs w:val="21"/>
              </w:rPr>
              <w:t>修订：4.2 认证业务范围分类管理的原则</w:t>
            </w:r>
          </w:p>
        </w:tc>
        <w:tc>
          <w:tcPr>
            <w:tcW w:w="917" w:type="dxa"/>
            <w:vAlign w:val="center"/>
          </w:tcPr>
          <w:p>
            <w:pPr>
              <w:spacing w:before="16" w:after="16"/>
              <w:jc w:val="center"/>
              <w:rPr>
                <w:rFonts w:ascii="仿宋" w:hAnsi="仿宋" w:eastAsia="仿宋" w:cs="仿宋"/>
                <w:bCs/>
                <w:color w:val="auto"/>
                <w:sz w:val="21"/>
                <w:szCs w:val="21"/>
              </w:rPr>
            </w:pPr>
            <w:r>
              <w:rPr>
                <w:rFonts w:hint="eastAsia" w:ascii="仿宋" w:hAnsi="仿宋" w:eastAsia="仿宋" w:cs="仿宋"/>
                <w:bCs/>
                <w:color w:val="auto"/>
                <w:sz w:val="21"/>
                <w:szCs w:val="21"/>
              </w:rPr>
              <w:t>技委会</w:t>
            </w:r>
          </w:p>
        </w:tc>
        <w:tc>
          <w:tcPr>
            <w:tcW w:w="976" w:type="dxa"/>
            <w:vAlign w:val="center"/>
          </w:tcPr>
          <w:p>
            <w:pPr>
              <w:spacing w:before="16" w:after="16"/>
              <w:jc w:val="center"/>
              <w:rPr>
                <w:rFonts w:ascii="仿宋" w:hAnsi="仿宋" w:eastAsia="仿宋" w:cs="仿宋"/>
                <w:bCs/>
                <w:color w:val="auto"/>
                <w:sz w:val="21"/>
                <w:szCs w:val="21"/>
              </w:rPr>
            </w:pPr>
            <w:r>
              <w:rPr>
                <w:rFonts w:hint="eastAsia" w:ascii="仿宋" w:hAnsi="仿宋" w:eastAsia="仿宋" w:cs="仿宋"/>
                <w:bCs/>
                <w:color w:val="auto"/>
                <w:sz w:val="21"/>
                <w:szCs w:val="21"/>
              </w:rPr>
              <w:t>刘建波</w:t>
            </w:r>
          </w:p>
        </w:tc>
        <w:tc>
          <w:tcPr>
            <w:tcW w:w="1032" w:type="dxa"/>
            <w:vAlign w:val="center"/>
          </w:tcPr>
          <w:p>
            <w:pPr>
              <w:spacing w:before="16" w:after="16"/>
              <w:jc w:val="center"/>
              <w:rPr>
                <w:rFonts w:ascii="仿宋" w:hAnsi="仿宋" w:eastAsia="仿宋" w:cs="仿宋"/>
                <w:bCs/>
                <w:color w:val="auto"/>
                <w:sz w:val="21"/>
                <w:szCs w:val="21"/>
              </w:rPr>
            </w:pPr>
            <w:r>
              <w:rPr>
                <w:rFonts w:hint="eastAsia" w:ascii="仿宋" w:hAnsi="仿宋" w:eastAsia="仿宋" w:cs="仿宋"/>
                <w:bCs/>
                <w:color w:val="auto"/>
                <w:sz w:val="21"/>
                <w:szCs w:val="21"/>
              </w:rPr>
              <w:t>庹小勇</w:t>
            </w:r>
          </w:p>
        </w:tc>
        <w:tc>
          <w:tcPr>
            <w:tcW w:w="1292" w:type="dxa"/>
            <w:vAlign w:val="center"/>
          </w:tcPr>
          <w:p>
            <w:pPr>
              <w:spacing w:before="16" w:after="16"/>
              <w:jc w:val="center"/>
              <w:rPr>
                <w:rFonts w:ascii="仿宋" w:hAnsi="仿宋" w:eastAsia="仿宋" w:cs="仿宋"/>
                <w:bCs/>
                <w:color w:val="auto"/>
                <w:sz w:val="21"/>
                <w:szCs w:val="21"/>
              </w:rPr>
            </w:pPr>
            <w:r>
              <w:rPr>
                <w:rFonts w:hint="eastAsia" w:ascii="仿宋" w:hAnsi="仿宋" w:eastAsia="仿宋" w:cs="仿宋"/>
                <w:bCs/>
                <w:color w:val="auto"/>
                <w:sz w:val="21"/>
                <w:szCs w:val="21"/>
              </w:rPr>
              <w:t>2020.06.01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960" w:type="dxa"/>
            <w:vAlign w:val="center"/>
          </w:tcPr>
          <w:p>
            <w:pPr>
              <w:spacing w:before="16" w:after="16"/>
              <w:jc w:val="center"/>
              <w:rPr>
                <w:rFonts w:hint="eastAsia" w:ascii="仿宋" w:hAnsi="仿宋" w:eastAsia="仿宋" w:cs="仿宋"/>
                <w:bCs/>
                <w:color w:val="auto"/>
                <w:sz w:val="21"/>
                <w:szCs w:val="21"/>
              </w:rPr>
            </w:pPr>
            <w:r>
              <w:rPr>
                <w:rFonts w:hint="eastAsia" w:ascii="仿宋" w:hAnsi="仿宋" w:eastAsia="仿宋" w:cs="仿宋"/>
                <w:bCs/>
                <w:color w:val="auto"/>
              </w:rPr>
              <w:t>B/2</w:t>
            </w:r>
          </w:p>
        </w:tc>
        <w:tc>
          <w:tcPr>
            <w:tcW w:w="3840" w:type="dxa"/>
            <w:vAlign w:val="center"/>
          </w:tcPr>
          <w:p>
            <w:pPr>
              <w:spacing w:before="16" w:after="16"/>
              <w:jc w:val="both"/>
              <w:rPr>
                <w:rFonts w:hint="eastAsia" w:ascii="仿宋" w:hAnsi="仿宋" w:eastAsia="仿宋" w:cs="仿宋"/>
                <w:bCs/>
                <w:color w:val="auto"/>
                <w:sz w:val="21"/>
                <w:szCs w:val="21"/>
              </w:rPr>
            </w:pPr>
            <w:r>
              <w:rPr>
                <w:rFonts w:hint="eastAsia" w:ascii="仿宋" w:hAnsi="仿宋" w:eastAsia="仿宋" w:cs="仿宋"/>
                <w:bCs/>
                <w:color w:val="auto"/>
                <w:sz w:val="21"/>
                <w:szCs w:val="21"/>
              </w:rPr>
              <w:t>增加CNAS-SC125:2020 《职业健康安全管理体系认证机构认可方案》中关于OHSMS领域的要求</w:t>
            </w:r>
          </w:p>
        </w:tc>
        <w:tc>
          <w:tcPr>
            <w:tcW w:w="917" w:type="dxa"/>
            <w:vAlign w:val="center"/>
          </w:tcPr>
          <w:p>
            <w:pPr>
              <w:spacing w:before="16" w:after="16"/>
              <w:jc w:val="both"/>
              <w:rPr>
                <w:rFonts w:hint="eastAsia" w:ascii="仿宋" w:hAnsi="仿宋" w:eastAsia="仿宋" w:cs="仿宋"/>
                <w:bCs/>
                <w:color w:val="auto"/>
                <w:sz w:val="21"/>
                <w:szCs w:val="21"/>
              </w:rPr>
            </w:pPr>
            <w:r>
              <w:rPr>
                <w:rFonts w:hint="eastAsia" w:ascii="仿宋" w:hAnsi="仿宋" w:eastAsia="仿宋" w:cs="仿宋"/>
                <w:bCs/>
                <w:color w:val="auto"/>
                <w:sz w:val="21"/>
                <w:szCs w:val="21"/>
              </w:rPr>
              <w:t>技委会</w:t>
            </w:r>
          </w:p>
        </w:tc>
        <w:tc>
          <w:tcPr>
            <w:tcW w:w="976" w:type="dxa"/>
            <w:vAlign w:val="center"/>
          </w:tcPr>
          <w:p>
            <w:pPr>
              <w:spacing w:before="16" w:after="16"/>
              <w:jc w:val="both"/>
              <w:rPr>
                <w:rFonts w:hint="eastAsia" w:ascii="仿宋" w:hAnsi="仿宋" w:eastAsia="仿宋" w:cs="仿宋"/>
                <w:bCs/>
                <w:color w:val="auto"/>
                <w:sz w:val="21"/>
                <w:szCs w:val="21"/>
              </w:rPr>
            </w:pPr>
            <w:r>
              <w:rPr>
                <w:rFonts w:hint="eastAsia" w:ascii="仿宋" w:hAnsi="仿宋" w:eastAsia="仿宋" w:cs="仿宋"/>
                <w:bCs/>
                <w:color w:val="auto"/>
                <w:sz w:val="21"/>
                <w:szCs w:val="21"/>
              </w:rPr>
              <w:t>刘建波</w:t>
            </w:r>
          </w:p>
        </w:tc>
        <w:tc>
          <w:tcPr>
            <w:tcW w:w="1032" w:type="dxa"/>
            <w:vAlign w:val="center"/>
          </w:tcPr>
          <w:p>
            <w:pPr>
              <w:spacing w:before="16" w:after="16"/>
              <w:jc w:val="both"/>
              <w:rPr>
                <w:rFonts w:hint="eastAsia" w:ascii="仿宋" w:hAnsi="仿宋" w:eastAsia="仿宋" w:cs="仿宋"/>
                <w:bCs/>
                <w:color w:val="auto"/>
                <w:sz w:val="21"/>
                <w:szCs w:val="21"/>
              </w:rPr>
            </w:pPr>
            <w:r>
              <w:rPr>
                <w:rFonts w:hint="eastAsia" w:ascii="仿宋" w:hAnsi="仿宋" w:eastAsia="仿宋" w:cs="仿宋"/>
                <w:bCs/>
                <w:color w:val="auto"/>
                <w:sz w:val="21"/>
                <w:szCs w:val="21"/>
              </w:rPr>
              <w:t>庹小勇</w:t>
            </w:r>
          </w:p>
        </w:tc>
        <w:tc>
          <w:tcPr>
            <w:tcW w:w="1292" w:type="dxa"/>
            <w:vAlign w:val="center"/>
          </w:tcPr>
          <w:p>
            <w:pPr>
              <w:spacing w:before="16" w:after="16"/>
              <w:jc w:val="both"/>
              <w:rPr>
                <w:rFonts w:hint="eastAsia" w:ascii="仿宋" w:hAnsi="仿宋" w:eastAsia="仿宋" w:cs="仿宋"/>
                <w:bCs/>
                <w:color w:val="auto"/>
                <w:sz w:val="21"/>
                <w:szCs w:val="21"/>
              </w:rPr>
            </w:pPr>
            <w:r>
              <w:rPr>
                <w:rFonts w:hint="eastAsia" w:ascii="仿宋" w:hAnsi="仿宋" w:eastAsia="仿宋" w:cs="仿宋"/>
                <w:bCs/>
                <w:color w:val="auto"/>
                <w:sz w:val="21"/>
                <w:szCs w:val="21"/>
              </w:rPr>
              <w:t>2022.05.28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960" w:type="dxa"/>
            <w:vAlign w:val="center"/>
          </w:tcPr>
          <w:p>
            <w:pPr>
              <w:spacing w:before="16" w:after="16"/>
              <w:jc w:val="center"/>
              <w:rPr>
                <w:rFonts w:hint="default" w:ascii="仿宋" w:hAnsi="仿宋" w:eastAsia="仿宋" w:cs="仿宋"/>
                <w:bCs/>
                <w:color w:val="auto"/>
                <w:lang w:val="en-US" w:eastAsia="zh-CN"/>
              </w:rPr>
            </w:pPr>
            <w:r>
              <w:rPr>
                <w:rFonts w:hint="eastAsia" w:ascii="仿宋" w:hAnsi="仿宋" w:eastAsia="仿宋" w:cs="仿宋"/>
                <w:bCs/>
                <w:color w:val="auto"/>
                <w:lang w:val="en-US" w:eastAsia="zh-CN"/>
              </w:rPr>
              <w:t>B/3</w:t>
            </w:r>
          </w:p>
        </w:tc>
        <w:tc>
          <w:tcPr>
            <w:tcW w:w="3840" w:type="dxa"/>
            <w:vAlign w:val="center"/>
          </w:tcPr>
          <w:p>
            <w:pPr>
              <w:spacing w:before="16" w:after="16"/>
              <w:jc w:val="both"/>
              <w:rPr>
                <w:rFonts w:hint="default" w:ascii="仿宋" w:hAnsi="仿宋" w:eastAsia="仿宋" w:cs="仿宋"/>
                <w:bCs/>
                <w:color w:val="auto"/>
                <w:sz w:val="21"/>
                <w:szCs w:val="21"/>
                <w:lang w:val="en-US"/>
              </w:rPr>
            </w:pPr>
            <w:r>
              <w:rPr>
                <w:rFonts w:hint="eastAsia" w:ascii="仿宋" w:hAnsi="仿宋" w:eastAsia="仿宋" w:cs="仿宋"/>
                <w:bCs/>
                <w:color w:val="auto"/>
                <w:sz w:val="21"/>
                <w:szCs w:val="21"/>
                <w:lang w:val="en-US" w:eastAsia="zh-CN"/>
              </w:rPr>
              <w:t>1、修改</w:t>
            </w:r>
            <w:r>
              <w:rPr>
                <w:rFonts w:hint="eastAsia" w:ascii="仿宋" w:hAnsi="仿宋" w:eastAsia="仿宋" w:cs="仿宋"/>
                <w:bCs/>
                <w:color w:val="auto"/>
                <w:sz w:val="21"/>
                <w:szCs w:val="21"/>
              </w:rPr>
              <w:t>4.5.2 /4.6.1开展认证活动的业务范围，应具备的条件中，</w:t>
            </w:r>
            <w:r>
              <w:rPr>
                <w:rFonts w:hint="eastAsia" w:ascii="仿宋" w:hAnsi="仿宋" w:eastAsia="仿宋" w:cs="仿宋"/>
                <w:bCs/>
                <w:color w:val="auto"/>
                <w:sz w:val="21"/>
                <w:szCs w:val="21"/>
                <w:lang w:val="en-US" w:eastAsia="zh-CN"/>
              </w:rPr>
              <w:t>关于</w:t>
            </w:r>
            <w:r>
              <w:rPr>
                <w:rFonts w:hint="eastAsia" w:ascii="仿宋" w:hAnsi="仿宋" w:eastAsia="仿宋" w:cs="仿宋"/>
                <w:bCs/>
                <w:color w:val="auto"/>
                <w:sz w:val="21"/>
                <w:szCs w:val="21"/>
              </w:rPr>
              <w:t>拟认可及已认可的业务范围大类中具备至少一名专业审核员的要求</w:t>
            </w:r>
          </w:p>
          <w:p>
            <w:pPr>
              <w:spacing w:before="16" w:after="16"/>
              <w:jc w:val="both"/>
              <w:rPr>
                <w:rFonts w:hint="eastAsia" w:ascii="宋体" w:hAnsi="宋体" w:eastAsia="宋体" w:cs="宋体"/>
                <w:b/>
                <w:bCs/>
                <w:color w:val="auto"/>
                <w:sz w:val="24"/>
                <w:szCs w:val="24"/>
              </w:rPr>
            </w:pPr>
            <w:r>
              <w:rPr>
                <w:rFonts w:hint="eastAsia" w:ascii="仿宋" w:hAnsi="仿宋" w:eastAsia="仿宋" w:cs="仿宋"/>
                <w:bCs/>
                <w:color w:val="auto"/>
                <w:sz w:val="21"/>
                <w:szCs w:val="21"/>
                <w:lang w:val="en-US" w:eastAsia="zh-CN"/>
              </w:rPr>
              <w:t>2、增加</w:t>
            </w:r>
            <w:r>
              <w:rPr>
                <w:rFonts w:hint="eastAsia" w:ascii="仿宋" w:hAnsi="仿宋" w:eastAsia="仿宋" w:cs="仿宋"/>
                <w:bCs/>
                <w:color w:val="auto"/>
                <w:sz w:val="21"/>
                <w:szCs w:val="21"/>
              </w:rPr>
              <w:t>4.6.1</w:t>
            </w:r>
            <w:r>
              <w:rPr>
                <w:rFonts w:hint="eastAsia" w:ascii="仿宋" w:hAnsi="仿宋" w:eastAsia="仿宋" w:cs="仿宋"/>
                <w:bCs/>
                <w:color w:val="auto"/>
                <w:sz w:val="21"/>
                <w:szCs w:val="21"/>
                <w:lang w:val="en-US" w:eastAsia="zh-CN"/>
              </w:rPr>
              <w:t>关于证书标识转换的规定：</w:t>
            </w:r>
          </w:p>
        </w:tc>
        <w:tc>
          <w:tcPr>
            <w:tcW w:w="917" w:type="dxa"/>
            <w:vAlign w:val="center"/>
          </w:tcPr>
          <w:p>
            <w:pPr>
              <w:spacing w:before="16" w:after="16"/>
              <w:jc w:val="both"/>
              <w:rPr>
                <w:rFonts w:hint="eastAsia" w:ascii="仿宋" w:hAnsi="仿宋" w:eastAsia="仿宋" w:cs="仿宋"/>
                <w:bCs/>
                <w:color w:val="auto"/>
                <w:sz w:val="21"/>
                <w:szCs w:val="21"/>
                <w:lang w:val="en-US" w:eastAsia="zh-CN" w:bidi="ar-SA"/>
              </w:rPr>
            </w:pPr>
            <w:r>
              <w:rPr>
                <w:rFonts w:hint="eastAsia" w:ascii="仿宋" w:hAnsi="仿宋" w:eastAsia="仿宋" w:cs="仿宋"/>
                <w:bCs/>
                <w:color w:val="auto"/>
                <w:sz w:val="21"/>
                <w:szCs w:val="21"/>
              </w:rPr>
              <w:t>技委会</w:t>
            </w:r>
          </w:p>
        </w:tc>
        <w:tc>
          <w:tcPr>
            <w:tcW w:w="976" w:type="dxa"/>
            <w:vAlign w:val="center"/>
          </w:tcPr>
          <w:p>
            <w:pPr>
              <w:spacing w:before="16" w:after="16"/>
              <w:jc w:val="both"/>
              <w:rPr>
                <w:rFonts w:hint="eastAsia" w:ascii="仿宋" w:hAnsi="仿宋" w:eastAsia="仿宋" w:cs="仿宋"/>
                <w:bCs/>
                <w:color w:val="auto"/>
                <w:sz w:val="21"/>
                <w:szCs w:val="21"/>
                <w:lang w:val="en-US" w:eastAsia="zh-CN" w:bidi="ar-SA"/>
              </w:rPr>
            </w:pPr>
            <w:r>
              <w:rPr>
                <w:rFonts w:hint="eastAsia" w:ascii="仿宋" w:hAnsi="仿宋" w:eastAsia="仿宋" w:cs="仿宋"/>
                <w:bCs/>
                <w:color w:val="auto"/>
                <w:sz w:val="21"/>
                <w:szCs w:val="21"/>
              </w:rPr>
              <w:t>刘建波</w:t>
            </w:r>
          </w:p>
        </w:tc>
        <w:tc>
          <w:tcPr>
            <w:tcW w:w="1032" w:type="dxa"/>
            <w:tcBorders>
              <w:bottom w:val="single" w:color="auto" w:sz="4" w:space="0"/>
            </w:tcBorders>
            <w:vAlign w:val="center"/>
          </w:tcPr>
          <w:p>
            <w:pPr>
              <w:spacing w:before="16" w:after="16"/>
              <w:jc w:val="both"/>
              <w:rPr>
                <w:rFonts w:hint="eastAsia" w:ascii="仿宋" w:hAnsi="仿宋" w:eastAsia="仿宋" w:cs="仿宋"/>
                <w:bCs/>
                <w:color w:val="auto"/>
                <w:sz w:val="21"/>
                <w:szCs w:val="21"/>
                <w:lang w:val="en-US" w:eastAsia="zh-CN" w:bidi="ar-SA"/>
              </w:rPr>
            </w:pPr>
            <w:r>
              <w:rPr>
                <w:rFonts w:hint="eastAsia" w:ascii="仿宋" w:hAnsi="仿宋" w:eastAsia="仿宋" w:cs="仿宋"/>
                <w:bCs/>
                <w:color w:val="auto"/>
                <w:sz w:val="21"/>
                <w:szCs w:val="21"/>
              </w:rPr>
              <w:t>庹小勇</w:t>
            </w:r>
          </w:p>
        </w:tc>
        <w:tc>
          <w:tcPr>
            <w:tcW w:w="1292" w:type="dxa"/>
            <w:tcBorders>
              <w:bottom w:val="single" w:color="auto" w:sz="4" w:space="0"/>
            </w:tcBorders>
            <w:vAlign w:val="center"/>
          </w:tcPr>
          <w:p>
            <w:pPr>
              <w:spacing w:before="16" w:after="16"/>
              <w:jc w:val="both"/>
              <w:rPr>
                <w:rFonts w:hint="eastAsia" w:ascii="仿宋" w:hAnsi="仿宋" w:eastAsia="仿宋" w:cs="仿宋"/>
                <w:bCs/>
                <w:color w:val="auto"/>
                <w:sz w:val="21"/>
                <w:szCs w:val="21"/>
                <w:lang w:val="en-US" w:eastAsia="zh-CN" w:bidi="ar-SA"/>
              </w:rPr>
            </w:pPr>
            <w:r>
              <w:rPr>
                <w:rFonts w:hint="eastAsia" w:ascii="仿宋" w:hAnsi="仿宋" w:eastAsia="仿宋" w:cs="仿宋"/>
                <w:bCs/>
                <w:color w:val="auto"/>
                <w:sz w:val="21"/>
                <w:szCs w:val="21"/>
              </w:rPr>
              <w:t>2022.0</w:t>
            </w:r>
            <w:r>
              <w:rPr>
                <w:rFonts w:hint="eastAsia" w:ascii="仿宋" w:hAnsi="仿宋" w:eastAsia="仿宋" w:cs="仿宋"/>
                <w:bCs/>
                <w:color w:val="auto"/>
                <w:sz w:val="21"/>
                <w:szCs w:val="21"/>
                <w:lang w:val="en-US" w:eastAsia="zh-CN"/>
              </w:rPr>
              <w:t>7</w:t>
            </w:r>
            <w:r>
              <w:rPr>
                <w:rFonts w:hint="eastAsia" w:ascii="仿宋" w:hAnsi="仿宋" w:eastAsia="仿宋" w:cs="仿宋"/>
                <w:bCs/>
                <w:color w:val="auto"/>
                <w:sz w:val="21"/>
                <w:szCs w:val="21"/>
              </w:rPr>
              <w:t>.2</w:t>
            </w:r>
            <w:r>
              <w:rPr>
                <w:rFonts w:hint="eastAsia" w:ascii="仿宋" w:hAnsi="仿宋" w:eastAsia="仿宋" w:cs="仿宋"/>
                <w:bCs/>
                <w:color w:val="auto"/>
                <w:sz w:val="21"/>
                <w:szCs w:val="21"/>
                <w:lang w:val="en-US" w:eastAsia="zh-CN"/>
              </w:rPr>
              <w:t>4</w:t>
            </w:r>
          </w:p>
        </w:tc>
      </w:tr>
    </w:tbl>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sz w:val="44"/>
          <w:szCs w:val="44"/>
        </w:rPr>
      </w:pPr>
    </w:p>
    <w:p>
      <w:pPr>
        <w:pStyle w:val="3"/>
        <w:kinsoku w:val="0"/>
        <w:overflowPunct w:val="0"/>
        <w:spacing w:line="416" w:lineRule="exact"/>
        <w:jc w:val="center"/>
        <w:rPr>
          <w:b/>
          <w:bCs/>
          <w:color w:val="auto"/>
          <w:spacing w:val="1"/>
          <w:sz w:val="30"/>
          <w:szCs w:val="30"/>
        </w:rPr>
      </w:pPr>
      <w:r>
        <w:rPr>
          <w:rFonts w:hint="eastAsia"/>
          <w:b/>
          <w:bCs/>
          <w:color w:val="auto"/>
          <w:spacing w:val="1"/>
          <w:sz w:val="30"/>
          <w:szCs w:val="30"/>
        </w:rPr>
        <w:t>目  录</w:t>
      </w:r>
    </w:p>
    <w:p>
      <w:pPr>
        <w:pStyle w:val="3"/>
        <w:kinsoku w:val="0"/>
        <w:overflowPunct w:val="0"/>
        <w:spacing w:line="360" w:lineRule="auto"/>
        <w:jc w:val="center"/>
        <w:rPr>
          <w:rFonts w:ascii="仿宋" w:hAnsi="仿宋" w:eastAsia="仿宋" w:cs="仿宋"/>
          <w:color w:val="auto"/>
          <w:spacing w:val="1"/>
          <w:sz w:val="28"/>
          <w:szCs w:val="28"/>
        </w:rPr>
      </w:pPr>
    </w:p>
    <w:p>
      <w:pPr>
        <w:pStyle w:val="7"/>
        <w:tabs>
          <w:tab w:val="right" w:leader="dot" w:pos="9314"/>
        </w:tabs>
        <w:rPr>
          <w:rFonts w:ascii="仿宋" w:hAnsi="仿宋" w:eastAsia="仿宋" w:cs="仿宋"/>
          <w:color w:val="auto"/>
          <w:sz w:val="28"/>
          <w:szCs w:val="28"/>
        </w:rPr>
      </w:pPr>
      <w:r>
        <w:rPr>
          <w:rFonts w:hint="eastAsia" w:ascii="仿宋" w:hAnsi="仿宋" w:eastAsia="仿宋" w:cs="仿宋"/>
          <w:color w:val="auto"/>
          <w:spacing w:val="1"/>
          <w:sz w:val="28"/>
          <w:szCs w:val="28"/>
        </w:rPr>
        <w:fldChar w:fldCharType="begin"/>
      </w:r>
      <w:r>
        <w:rPr>
          <w:rFonts w:hint="eastAsia" w:ascii="仿宋" w:hAnsi="仿宋" w:eastAsia="仿宋" w:cs="仿宋"/>
          <w:color w:val="auto"/>
          <w:spacing w:val="1"/>
          <w:sz w:val="28"/>
          <w:szCs w:val="28"/>
        </w:rPr>
        <w:instrText xml:space="preserve">TOC \o "1-1" \h \u </w:instrText>
      </w:r>
      <w:r>
        <w:rPr>
          <w:rFonts w:hint="eastAsia" w:ascii="仿宋" w:hAnsi="仿宋" w:eastAsia="仿宋" w:cs="仿宋"/>
          <w:color w:val="auto"/>
          <w:spacing w:val="1"/>
          <w:sz w:val="28"/>
          <w:szCs w:val="28"/>
        </w:rPr>
        <w:fldChar w:fldCharType="separate"/>
      </w:r>
      <w:r>
        <w:rPr>
          <w:color w:val="auto"/>
        </w:rPr>
        <w:fldChar w:fldCharType="begin"/>
      </w:r>
      <w:r>
        <w:rPr>
          <w:color w:val="auto"/>
        </w:rPr>
        <w:instrText xml:space="preserve"> HYPERLINK \l "_Toc15142" </w:instrText>
      </w:r>
      <w:r>
        <w:rPr>
          <w:color w:val="auto"/>
        </w:rPr>
        <w:fldChar w:fldCharType="separate"/>
      </w:r>
      <w:r>
        <w:rPr>
          <w:rFonts w:hint="eastAsia" w:ascii="仿宋" w:hAnsi="仿宋" w:eastAsia="仿宋" w:cs="仿宋"/>
          <w:bCs/>
          <w:color w:val="auto"/>
          <w:sz w:val="28"/>
          <w:szCs w:val="28"/>
          <w:lang w:bidi="ar"/>
        </w:rPr>
        <w:t>1 目的</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_Toc15142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pPr>
        <w:pStyle w:val="7"/>
        <w:tabs>
          <w:tab w:val="right" w:leader="dot" w:pos="9314"/>
        </w:tabs>
        <w:rPr>
          <w:rFonts w:ascii="仿宋" w:hAnsi="仿宋" w:eastAsia="仿宋" w:cs="仿宋"/>
          <w:color w:val="auto"/>
          <w:sz w:val="28"/>
          <w:szCs w:val="28"/>
        </w:rPr>
      </w:pPr>
      <w:r>
        <w:rPr>
          <w:color w:val="auto"/>
        </w:rPr>
        <w:fldChar w:fldCharType="begin"/>
      </w:r>
      <w:r>
        <w:rPr>
          <w:color w:val="auto"/>
        </w:rPr>
        <w:instrText xml:space="preserve"> HYPERLINK \l "_Toc17008" </w:instrText>
      </w:r>
      <w:r>
        <w:rPr>
          <w:color w:val="auto"/>
        </w:rPr>
        <w:fldChar w:fldCharType="separate"/>
      </w:r>
      <w:r>
        <w:rPr>
          <w:rFonts w:hint="eastAsia" w:ascii="仿宋" w:hAnsi="仿宋" w:eastAsia="仿宋" w:cs="仿宋"/>
          <w:bCs/>
          <w:color w:val="auto"/>
          <w:sz w:val="28"/>
          <w:szCs w:val="28"/>
          <w:lang w:bidi="ar"/>
        </w:rPr>
        <w:t>2 范围</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_Toc17008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pPr>
        <w:pStyle w:val="7"/>
        <w:tabs>
          <w:tab w:val="right" w:leader="dot" w:pos="9314"/>
        </w:tabs>
        <w:rPr>
          <w:rFonts w:ascii="仿宋" w:hAnsi="仿宋" w:eastAsia="仿宋" w:cs="仿宋"/>
          <w:color w:val="auto"/>
          <w:sz w:val="28"/>
          <w:szCs w:val="28"/>
        </w:rPr>
      </w:pPr>
      <w:r>
        <w:rPr>
          <w:color w:val="auto"/>
        </w:rPr>
        <w:fldChar w:fldCharType="begin"/>
      </w:r>
      <w:r>
        <w:rPr>
          <w:color w:val="auto"/>
        </w:rPr>
        <w:instrText xml:space="preserve"> HYPERLINK \l "_Toc6977" </w:instrText>
      </w:r>
      <w:r>
        <w:rPr>
          <w:color w:val="auto"/>
        </w:rPr>
        <w:fldChar w:fldCharType="separate"/>
      </w:r>
      <w:r>
        <w:rPr>
          <w:rFonts w:hint="eastAsia" w:ascii="仿宋" w:hAnsi="仿宋" w:eastAsia="仿宋" w:cs="仿宋"/>
          <w:bCs/>
          <w:color w:val="auto"/>
          <w:sz w:val="28"/>
          <w:szCs w:val="28"/>
          <w:lang w:bidi="ar"/>
        </w:rPr>
        <w:t>3 职责</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_Toc6977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pPr>
        <w:pStyle w:val="7"/>
        <w:tabs>
          <w:tab w:val="right" w:leader="dot" w:pos="9314"/>
        </w:tabs>
        <w:rPr>
          <w:rFonts w:ascii="仿宋" w:hAnsi="仿宋" w:eastAsia="仿宋" w:cs="仿宋"/>
          <w:color w:val="auto"/>
          <w:sz w:val="28"/>
          <w:szCs w:val="28"/>
        </w:rPr>
      </w:pPr>
      <w:r>
        <w:rPr>
          <w:color w:val="auto"/>
        </w:rPr>
        <w:fldChar w:fldCharType="begin"/>
      </w:r>
      <w:r>
        <w:rPr>
          <w:color w:val="auto"/>
        </w:rPr>
        <w:instrText xml:space="preserve"> HYPERLINK \l "_Toc29239" </w:instrText>
      </w:r>
      <w:r>
        <w:rPr>
          <w:color w:val="auto"/>
        </w:rPr>
        <w:fldChar w:fldCharType="separate"/>
      </w:r>
      <w:r>
        <w:rPr>
          <w:rFonts w:hint="eastAsia" w:ascii="仿宋" w:hAnsi="仿宋" w:eastAsia="仿宋" w:cs="仿宋"/>
          <w:bCs/>
          <w:color w:val="auto"/>
          <w:sz w:val="28"/>
          <w:szCs w:val="28"/>
          <w:lang w:bidi="ar"/>
        </w:rPr>
        <w:t>4 管理程序</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_Toc29239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pPr>
        <w:pStyle w:val="7"/>
        <w:tabs>
          <w:tab w:val="right" w:leader="dot" w:pos="9314"/>
        </w:tabs>
        <w:rPr>
          <w:rFonts w:ascii="仿宋" w:hAnsi="仿宋" w:eastAsia="仿宋" w:cs="仿宋"/>
          <w:color w:val="auto"/>
          <w:sz w:val="28"/>
          <w:szCs w:val="28"/>
        </w:rPr>
      </w:pPr>
      <w:r>
        <w:rPr>
          <w:color w:val="auto"/>
        </w:rPr>
        <w:fldChar w:fldCharType="begin"/>
      </w:r>
      <w:r>
        <w:rPr>
          <w:color w:val="auto"/>
        </w:rPr>
        <w:instrText xml:space="preserve"> HYPERLINK \l "_Toc196" </w:instrText>
      </w:r>
      <w:r>
        <w:rPr>
          <w:color w:val="auto"/>
        </w:rPr>
        <w:fldChar w:fldCharType="separate"/>
      </w:r>
      <w:r>
        <w:rPr>
          <w:rFonts w:hint="eastAsia" w:ascii="仿宋" w:hAnsi="仿宋" w:eastAsia="仿宋" w:cs="仿宋"/>
          <w:bCs/>
          <w:color w:val="auto"/>
          <w:sz w:val="28"/>
          <w:szCs w:val="28"/>
          <w:lang w:bidi="ar"/>
        </w:rPr>
        <w:t>5 相关记录</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_Toc196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8</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rPr>
        <w:fldChar w:fldCharType="end"/>
      </w:r>
    </w:p>
    <w:p>
      <w:pPr>
        <w:pStyle w:val="3"/>
        <w:kinsoku w:val="0"/>
        <w:overflowPunct w:val="0"/>
        <w:spacing w:line="360" w:lineRule="auto"/>
        <w:jc w:val="center"/>
        <w:rPr>
          <w:rFonts w:ascii="仿宋" w:hAnsi="仿宋" w:eastAsia="仿宋" w:cs="仿宋"/>
          <w:color w:val="auto"/>
          <w:spacing w:val="1"/>
          <w:sz w:val="28"/>
          <w:szCs w:val="28"/>
        </w:rPr>
      </w:pPr>
      <w:r>
        <w:rPr>
          <w:rFonts w:hint="eastAsia" w:ascii="仿宋" w:hAnsi="仿宋" w:eastAsia="仿宋" w:cs="仿宋"/>
          <w:color w:val="auto"/>
          <w:spacing w:val="1"/>
          <w:sz w:val="28"/>
          <w:szCs w:val="28"/>
        </w:rPr>
        <w:fldChar w:fldCharType="end"/>
      </w: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3"/>
        <w:kinsoku w:val="0"/>
        <w:overflowPunct w:val="0"/>
        <w:spacing w:line="416" w:lineRule="exact"/>
        <w:jc w:val="center"/>
        <w:rPr>
          <w:color w:val="auto"/>
          <w:spacing w:val="1"/>
        </w:rPr>
      </w:pPr>
    </w:p>
    <w:p>
      <w:pPr>
        <w:pStyle w:val="15"/>
        <w:spacing w:line="360" w:lineRule="auto"/>
        <w:ind w:left="360" w:firstLine="0" w:firstLineChars="0"/>
        <w:jc w:val="center"/>
        <w:rPr>
          <w:rFonts w:ascii="仿宋" w:hAnsi="仿宋" w:eastAsia="仿宋" w:cs="仿宋"/>
          <w:b/>
          <w:color w:val="auto"/>
          <w:sz w:val="30"/>
          <w:szCs w:val="30"/>
        </w:rPr>
      </w:pPr>
      <w:r>
        <w:rPr>
          <w:rFonts w:hint="eastAsia" w:ascii="仿宋" w:hAnsi="仿宋" w:eastAsia="仿宋" w:cs="仿宋"/>
          <w:b/>
          <w:color w:val="auto"/>
          <w:sz w:val="30"/>
          <w:szCs w:val="30"/>
        </w:rPr>
        <w:t>认证业务范围管理程序</w:t>
      </w:r>
    </w:p>
    <w:p>
      <w:pPr>
        <w:widowControl/>
        <w:spacing w:line="360" w:lineRule="auto"/>
        <w:outlineLvl w:val="0"/>
        <w:rPr>
          <w:rFonts w:ascii="仿宋" w:hAnsi="仿宋" w:eastAsia="仿宋" w:cs="仿宋"/>
          <w:color w:val="auto"/>
        </w:rPr>
      </w:pPr>
      <w:bookmarkStart w:id="2" w:name="_Toc15142"/>
      <w:r>
        <w:rPr>
          <w:rFonts w:hint="eastAsia" w:ascii="仿宋" w:hAnsi="仿宋" w:eastAsia="仿宋" w:cs="仿宋"/>
          <w:b/>
          <w:bCs/>
          <w:color w:val="auto"/>
          <w:lang w:bidi="ar"/>
        </w:rPr>
        <w:t>1 目的</w:t>
      </w:r>
      <w:bookmarkEnd w:id="2"/>
      <w:r>
        <w:rPr>
          <w:rFonts w:hint="eastAsia" w:ascii="仿宋" w:hAnsi="仿宋" w:eastAsia="仿宋" w:cs="仿宋"/>
          <w:b/>
          <w:bCs/>
          <w:color w:val="auto"/>
          <w:lang w:bidi="ar"/>
        </w:rPr>
        <w:t xml:space="preserve"> </w:t>
      </w:r>
    </w:p>
    <w:p>
      <w:pPr>
        <w:widowControl/>
        <w:spacing w:line="360" w:lineRule="auto"/>
        <w:ind w:firstLine="480" w:firstLineChars="200"/>
        <w:rPr>
          <w:rFonts w:ascii="仿宋" w:hAnsi="仿宋" w:eastAsia="仿宋" w:cs="仿宋"/>
          <w:color w:val="auto"/>
        </w:rPr>
      </w:pPr>
      <w:r>
        <w:rPr>
          <w:rFonts w:hint="eastAsia" w:ascii="仿宋" w:hAnsi="仿宋" w:eastAsia="仿宋" w:cs="仿宋"/>
          <w:color w:val="auto"/>
          <w:lang w:bidi="ar"/>
        </w:rPr>
        <w:t xml:space="preserve">为确保中澜认证有限公司认证业务范围管理持续有效，特编制此文件。 </w:t>
      </w:r>
    </w:p>
    <w:p>
      <w:pPr>
        <w:widowControl/>
        <w:spacing w:line="360" w:lineRule="auto"/>
        <w:outlineLvl w:val="0"/>
        <w:rPr>
          <w:rFonts w:ascii="仿宋" w:hAnsi="仿宋" w:eastAsia="仿宋" w:cs="仿宋"/>
          <w:color w:val="auto"/>
        </w:rPr>
      </w:pPr>
      <w:bookmarkStart w:id="3" w:name="_Toc17008"/>
      <w:r>
        <w:rPr>
          <w:rFonts w:hint="eastAsia" w:ascii="仿宋" w:hAnsi="仿宋" w:eastAsia="仿宋" w:cs="仿宋"/>
          <w:b/>
          <w:bCs/>
          <w:color w:val="auto"/>
          <w:lang w:bidi="ar"/>
        </w:rPr>
        <w:t>2 范围</w:t>
      </w:r>
      <w:bookmarkEnd w:id="3"/>
      <w:r>
        <w:rPr>
          <w:rFonts w:hint="eastAsia" w:ascii="仿宋" w:hAnsi="仿宋" w:eastAsia="仿宋" w:cs="仿宋"/>
          <w:b/>
          <w:bCs/>
          <w:color w:val="auto"/>
          <w:lang w:bidi="ar"/>
        </w:rPr>
        <w:t xml:space="preserve"> </w:t>
      </w:r>
    </w:p>
    <w:p>
      <w:pPr>
        <w:spacing w:line="360" w:lineRule="auto"/>
        <w:ind w:firstLine="480" w:firstLineChars="200"/>
        <w:jc w:val="both"/>
        <w:rPr>
          <w:rFonts w:ascii="仿宋" w:hAnsi="仿宋" w:eastAsia="仿宋" w:cs="仿宋"/>
          <w:color w:val="auto"/>
        </w:rPr>
      </w:pPr>
      <w:r>
        <w:rPr>
          <w:rFonts w:hint="eastAsia" w:ascii="仿宋" w:hAnsi="仿宋" w:eastAsia="仿宋" w:cs="仿宋"/>
          <w:color w:val="auto"/>
          <w:lang w:bidi="ar"/>
        </w:rPr>
        <w:t>本程序适用于中澜认证有限公司认证领域业务范围的业务管理。</w:t>
      </w:r>
    </w:p>
    <w:p>
      <w:pPr>
        <w:widowControl/>
        <w:spacing w:line="360" w:lineRule="auto"/>
        <w:outlineLvl w:val="0"/>
        <w:rPr>
          <w:rFonts w:ascii="仿宋" w:hAnsi="仿宋" w:eastAsia="仿宋" w:cs="仿宋"/>
          <w:color w:val="auto"/>
        </w:rPr>
      </w:pPr>
      <w:bookmarkStart w:id="4" w:name="_Toc6977"/>
      <w:r>
        <w:rPr>
          <w:rFonts w:hint="eastAsia" w:ascii="仿宋" w:hAnsi="仿宋" w:eastAsia="仿宋" w:cs="仿宋"/>
          <w:b/>
          <w:bCs/>
          <w:color w:val="auto"/>
          <w:lang w:bidi="ar"/>
        </w:rPr>
        <w:t>3 职责</w:t>
      </w:r>
      <w:bookmarkEnd w:id="4"/>
      <w:r>
        <w:rPr>
          <w:rFonts w:hint="eastAsia" w:ascii="仿宋" w:hAnsi="仿宋" w:eastAsia="仿宋" w:cs="仿宋"/>
          <w:b/>
          <w:bCs/>
          <w:color w:val="auto"/>
          <w:lang w:bidi="ar"/>
        </w:rPr>
        <w:t xml:space="preserve">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3.1 技委会负责针对本公司认证业务范围的管理，建立和实施能力分析和评价系统。组织实施认证业务范围能力需求的分析、认证业务范围技术领域分析与划分，认证业务范围的扩大或缩小的管理以及专业审核指导性文件的编制及认可申报等工作及审核全过程的专业能力管理工作；认证决定的专业能力管理。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3.2 业务部负责申请受理及合同评审过程的专业能力管理； </w:t>
      </w:r>
    </w:p>
    <w:p>
      <w:pPr>
        <w:spacing w:line="360" w:lineRule="auto"/>
        <w:jc w:val="both"/>
        <w:rPr>
          <w:rFonts w:ascii="仿宋" w:hAnsi="仿宋" w:eastAsia="仿宋" w:cs="仿宋"/>
          <w:color w:val="auto"/>
        </w:rPr>
      </w:pPr>
      <w:r>
        <w:rPr>
          <w:rFonts w:hint="eastAsia" w:ascii="仿宋" w:hAnsi="仿宋" w:eastAsia="仿宋" w:cs="仿宋"/>
          <w:color w:val="auto"/>
          <w:lang w:bidi="ar"/>
        </w:rPr>
        <w:t xml:space="preserve">3.3 综合部负责公司认证业务范围管理的日常监督。 </w:t>
      </w:r>
    </w:p>
    <w:p>
      <w:pPr>
        <w:widowControl/>
        <w:spacing w:line="360" w:lineRule="auto"/>
        <w:outlineLvl w:val="0"/>
        <w:rPr>
          <w:rFonts w:ascii="仿宋" w:hAnsi="仿宋" w:eastAsia="仿宋" w:cs="仿宋"/>
          <w:b/>
          <w:bCs/>
          <w:color w:val="auto"/>
          <w:lang w:bidi="ar"/>
        </w:rPr>
      </w:pPr>
      <w:bookmarkStart w:id="5" w:name="_Toc29239"/>
      <w:r>
        <w:rPr>
          <w:rFonts w:hint="eastAsia" w:ascii="仿宋" w:hAnsi="仿宋" w:eastAsia="仿宋" w:cs="仿宋"/>
          <w:b/>
          <w:bCs/>
          <w:color w:val="auto"/>
          <w:lang w:bidi="ar"/>
        </w:rPr>
        <w:t>4 管理程序</w:t>
      </w:r>
      <w:bookmarkEnd w:id="5"/>
      <w:r>
        <w:rPr>
          <w:rFonts w:hint="eastAsia" w:ascii="仿宋" w:hAnsi="仿宋" w:eastAsia="仿宋" w:cs="仿宋"/>
          <w:b/>
          <w:bCs/>
          <w:color w:val="auto"/>
          <w:lang w:bidi="ar"/>
        </w:rPr>
        <w:t xml:space="preserve">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4.1 认证业务范围的分类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4.1.1 技委会组织相关技术人员，对认证领域的业务范围进行分析和管理。业务范围分类的依据为 CNAS-GC01以及CNAS-TRC-012-2017等技术规范。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4.1.2 公司对拟开展认证服务的业务范围,根据已确定的技术领域划分原则和风险等级定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义，对拟申请认可的业务范围大类进行技术领域划分和技术分析。分析内容至少包括：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1）共性分析。 </w:t>
      </w:r>
    </w:p>
    <w:p>
      <w:pPr>
        <w:spacing w:line="360" w:lineRule="auto"/>
        <w:ind w:firstLine="480" w:firstLineChars="200"/>
        <w:jc w:val="both"/>
        <w:rPr>
          <w:rFonts w:ascii="仿宋" w:hAnsi="仿宋" w:eastAsia="仿宋" w:cs="仿宋"/>
          <w:color w:val="auto"/>
          <w:lang w:bidi="ar"/>
        </w:rPr>
      </w:pPr>
      <w:r>
        <w:rPr>
          <w:rFonts w:hint="eastAsia" w:ascii="仿宋" w:hAnsi="仿宋" w:eastAsia="仿宋" w:cs="仿宋"/>
          <w:color w:val="auto"/>
          <w:lang w:bidi="ar"/>
        </w:rPr>
        <w:t>按照典型产品/服务提供过程（工艺/服务流程），重要环境因素/危险源，法律法规要求，顾客和相关方期望等。</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2）专业特点分析 </w:t>
      </w:r>
    </w:p>
    <w:p>
      <w:pPr>
        <w:spacing w:line="360" w:lineRule="auto"/>
        <w:ind w:firstLine="480" w:firstLineChars="200"/>
        <w:jc w:val="both"/>
        <w:rPr>
          <w:rFonts w:ascii="仿宋" w:hAnsi="仿宋" w:eastAsia="仿宋" w:cs="仿宋"/>
          <w:color w:val="auto"/>
          <w:lang w:bidi="ar"/>
        </w:rPr>
      </w:pPr>
      <w:r>
        <w:rPr>
          <w:rFonts w:hint="eastAsia" w:ascii="仿宋" w:hAnsi="仿宋" w:eastAsia="仿宋" w:cs="仿宋"/>
          <w:color w:val="auto"/>
          <w:lang w:bidi="ar"/>
        </w:rPr>
        <w:t xml:space="preserve">按照典型产品/服务过程提供过程的共性，对产品/服务质量特性，环境治理/职业健康安全风险控制技术进行分析。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3）能力准则 </w:t>
      </w:r>
    </w:p>
    <w:p>
      <w:pPr>
        <w:spacing w:line="360" w:lineRule="auto"/>
        <w:ind w:firstLine="480" w:firstLineChars="200"/>
        <w:jc w:val="both"/>
        <w:rPr>
          <w:rFonts w:ascii="仿宋" w:hAnsi="仿宋" w:eastAsia="仿宋" w:cs="仿宋"/>
          <w:color w:val="auto"/>
          <w:lang w:bidi="ar"/>
        </w:rPr>
      </w:pPr>
      <w:r>
        <w:rPr>
          <w:rFonts w:hint="eastAsia" w:ascii="仿宋" w:hAnsi="仿宋" w:eastAsia="仿宋" w:cs="仿宋"/>
          <w:color w:val="auto"/>
          <w:lang w:bidi="ar"/>
        </w:rPr>
        <w:t xml:space="preserve">根据技术分析结果，对该技术领域中相关认证职能人员（至少包括 CC01 附录 A 中涉及的人员）所必须的知识和技能提出具体要求。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4）审核作业指导书编制需求 </w:t>
      </w:r>
    </w:p>
    <w:p>
      <w:pPr>
        <w:spacing w:line="360" w:lineRule="auto"/>
        <w:ind w:firstLine="480" w:firstLineChars="200"/>
        <w:jc w:val="both"/>
        <w:rPr>
          <w:rFonts w:ascii="仿宋" w:hAnsi="仿宋" w:eastAsia="仿宋" w:cs="仿宋"/>
          <w:color w:val="auto"/>
          <w:lang w:bidi="ar"/>
        </w:rPr>
      </w:pPr>
      <w:r>
        <w:rPr>
          <w:rFonts w:hint="eastAsia" w:ascii="仿宋" w:hAnsi="仿宋" w:eastAsia="仿宋" w:cs="仿宋"/>
          <w:color w:val="auto"/>
          <w:lang w:bidi="ar"/>
        </w:rPr>
        <w:t xml:space="preserve">分析结果，形成《技术领域专业分析表》和《技术领域明细表》作为过程的输出。根据《技术领域专业分析表》分析结果，并结合人力资源情况（专业审核员数量和能力评价结果）确定编制专业审核指导书的需求，编制《专业审核指导书》。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4.1.3 公司对业务范围分类实施动态管理。根据认证风险、法律法规要求、顾客期望、技术管理能力、审核方案监视和评审结果等因素的变化，定期或不定期进行技术分析，对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〈技术领域明细表〉进行调整。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4.2 认证业务范围分类管理的原则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4.2.1 QMS 认证业务范围管理的分类原则和风险等级定义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(1) 以 CNAS-GC01:2017《管理体系认证机构认证业务范围能力管理实施指南》为基础，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根据不同产品/服务提供业务流程的相似性、相关性，认证风险等，在技术分析和认证风险评估的基础上划分技术领域。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(2) 分析和制定划分领域时，考虑以下方面的共性： </w:t>
      </w:r>
    </w:p>
    <w:p>
      <w:pPr>
        <w:spacing w:line="360" w:lineRule="auto"/>
        <w:ind w:firstLine="480" w:firstLineChars="200"/>
        <w:jc w:val="both"/>
        <w:rPr>
          <w:rFonts w:ascii="仿宋" w:hAnsi="仿宋" w:eastAsia="仿宋" w:cs="仿宋"/>
          <w:color w:val="auto"/>
          <w:lang w:bidi="ar"/>
        </w:rPr>
      </w:pPr>
      <w:r>
        <w:rPr>
          <w:rFonts w:hint="eastAsia" w:ascii="仿宋" w:hAnsi="仿宋" w:eastAsia="仿宋" w:cs="仿宋"/>
          <w:color w:val="auto"/>
          <w:lang w:bidi="ar"/>
        </w:rPr>
        <w:t xml:space="preserve">a)技术特性的相似性。即产品/服务实施过程相似性，如：工艺/服务流程、关键过程、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产品质量特性、产品/服务提供过程所需知识共性； </w:t>
      </w:r>
    </w:p>
    <w:p>
      <w:pPr>
        <w:spacing w:line="360" w:lineRule="auto"/>
        <w:ind w:firstLine="480" w:firstLineChars="200"/>
        <w:jc w:val="both"/>
        <w:rPr>
          <w:rFonts w:ascii="仿宋" w:hAnsi="仿宋" w:eastAsia="仿宋" w:cs="仿宋"/>
          <w:color w:val="auto"/>
          <w:lang w:bidi="ar"/>
        </w:rPr>
      </w:pPr>
      <w:r>
        <w:rPr>
          <w:rFonts w:hint="eastAsia" w:ascii="仿宋" w:hAnsi="仿宋" w:eastAsia="仿宋" w:cs="仿宋"/>
          <w:color w:val="auto"/>
          <w:lang w:bidi="ar"/>
        </w:rPr>
        <w:t xml:space="preserve">b)组织特征的相似性。即不同产品/服务提供组织在业务运作流程、组织结构形式和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开展业务活动所需知识方面的共性； </w:t>
      </w:r>
    </w:p>
    <w:p>
      <w:pPr>
        <w:spacing w:line="360" w:lineRule="auto"/>
        <w:ind w:firstLine="480" w:firstLineChars="200"/>
        <w:jc w:val="both"/>
        <w:rPr>
          <w:rFonts w:ascii="仿宋" w:hAnsi="仿宋" w:eastAsia="仿宋" w:cs="仿宋"/>
          <w:color w:val="auto"/>
          <w:lang w:bidi="ar"/>
        </w:rPr>
      </w:pPr>
      <w:r>
        <w:rPr>
          <w:rFonts w:hint="eastAsia" w:ascii="仿宋" w:hAnsi="仿宋" w:eastAsia="仿宋" w:cs="仿宋"/>
          <w:color w:val="auto"/>
          <w:lang w:bidi="ar"/>
        </w:rPr>
        <w:t>c)法律法规要求的相似性；</w:t>
      </w:r>
    </w:p>
    <w:p>
      <w:pPr>
        <w:spacing w:line="360" w:lineRule="auto"/>
        <w:ind w:firstLine="480" w:firstLineChars="200"/>
        <w:jc w:val="both"/>
        <w:rPr>
          <w:rFonts w:ascii="仿宋" w:hAnsi="仿宋" w:eastAsia="仿宋" w:cs="仿宋"/>
          <w:color w:val="auto"/>
          <w:lang w:bidi="ar"/>
        </w:rPr>
      </w:pPr>
      <w:r>
        <w:rPr>
          <w:rFonts w:hint="eastAsia" w:ascii="仿宋" w:hAnsi="仿宋" w:eastAsia="仿宋" w:cs="仿宋"/>
          <w:color w:val="auto"/>
          <w:lang w:bidi="ar"/>
        </w:rPr>
        <w:t xml:space="preserve">d)顾客需求和期望的共性；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(3)一般地，在CNAS-TRC-012表3中的大类的基础上，进行技术领域划分，原则上不跨大类。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(4)认证风险等级确定原则： </w:t>
      </w:r>
    </w:p>
    <w:p>
      <w:pPr>
        <w:spacing w:line="360" w:lineRule="auto"/>
        <w:ind w:firstLine="480" w:firstLineChars="200"/>
        <w:jc w:val="both"/>
        <w:rPr>
          <w:rFonts w:ascii="仿宋" w:hAnsi="仿宋" w:eastAsia="仿宋" w:cs="仿宋"/>
          <w:color w:val="auto"/>
          <w:lang w:bidi="ar"/>
        </w:rPr>
      </w:pPr>
      <w:r>
        <w:rPr>
          <w:rFonts w:hint="eastAsia" w:ascii="仿宋" w:hAnsi="仿宋" w:eastAsia="仿宋" w:cs="仿宋"/>
          <w:color w:val="auto"/>
          <w:lang w:bidi="ar"/>
        </w:rPr>
        <w:t>根据以下原则，同时参照 CNAS-CC105《确定管理体系审核时间》要求来确定</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3"/>
        <w:gridCol w:w="819"/>
        <w:gridCol w:w="7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tcPr>
          <w:p>
            <w:pPr>
              <w:spacing w:line="360" w:lineRule="auto"/>
              <w:jc w:val="center"/>
              <w:rPr>
                <w:rFonts w:ascii="仿宋" w:hAnsi="仿宋" w:eastAsia="仿宋" w:cs="仿宋"/>
                <w:b/>
                <w:bCs/>
                <w:color w:val="auto"/>
                <w:lang w:bidi="ar"/>
              </w:rPr>
            </w:pPr>
            <w:r>
              <w:rPr>
                <w:rFonts w:hint="eastAsia" w:ascii="仿宋" w:hAnsi="仿宋" w:eastAsia="仿宋" w:cs="仿宋"/>
                <w:b/>
                <w:bCs/>
                <w:color w:val="auto"/>
                <w:lang w:bidi="ar"/>
              </w:rPr>
              <w:t>风险级别</w:t>
            </w:r>
          </w:p>
        </w:tc>
        <w:tc>
          <w:tcPr>
            <w:tcW w:w="819" w:type="dxa"/>
          </w:tcPr>
          <w:p>
            <w:pPr>
              <w:spacing w:line="360" w:lineRule="auto"/>
              <w:jc w:val="center"/>
              <w:rPr>
                <w:rFonts w:ascii="仿宋" w:hAnsi="仿宋" w:eastAsia="仿宋" w:cs="仿宋"/>
                <w:b/>
                <w:bCs/>
                <w:color w:val="auto"/>
                <w:lang w:bidi="ar"/>
              </w:rPr>
            </w:pPr>
            <w:r>
              <w:rPr>
                <w:rFonts w:hint="eastAsia" w:ascii="仿宋" w:hAnsi="仿宋" w:eastAsia="仿宋" w:cs="仿宋"/>
                <w:b/>
                <w:bCs/>
                <w:color w:val="auto"/>
                <w:lang w:bidi="ar"/>
              </w:rPr>
              <w:t>标识</w:t>
            </w:r>
          </w:p>
        </w:tc>
        <w:tc>
          <w:tcPr>
            <w:tcW w:w="7448" w:type="dxa"/>
          </w:tcPr>
          <w:p>
            <w:pPr>
              <w:spacing w:line="360" w:lineRule="auto"/>
              <w:jc w:val="center"/>
              <w:rPr>
                <w:rFonts w:ascii="仿宋" w:hAnsi="仿宋" w:eastAsia="仿宋" w:cs="仿宋"/>
                <w:b/>
                <w:bCs/>
                <w:color w:val="auto"/>
                <w:lang w:bidi="ar"/>
              </w:rPr>
            </w:pPr>
            <w:r>
              <w:rPr>
                <w:rFonts w:hint="eastAsia" w:ascii="仿宋" w:hAnsi="仿宋" w:eastAsia="仿宋" w:cs="仿宋"/>
                <w:b/>
                <w:bCs/>
                <w:color w:val="auto"/>
                <w:lang w:bidi="ar"/>
              </w:rPr>
              <w:t>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tcPr>
          <w:p>
            <w:pPr>
              <w:jc w:val="center"/>
              <w:rPr>
                <w:rFonts w:ascii="仿宋" w:hAnsi="仿宋" w:eastAsia="仿宋" w:cs="仿宋"/>
                <w:color w:val="auto"/>
                <w:lang w:bidi="ar"/>
              </w:rPr>
            </w:pPr>
            <w:r>
              <w:rPr>
                <w:rFonts w:hint="eastAsia" w:ascii="仿宋" w:hAnsi="仿宋" w:eastAsia="仿宋" w:cs="仿宋"/>
                <w:color w:val="auto"/>
                <w:lang w:bidi="ar"/>
              </w:rPr>
              <w:t>高</w:t>
            </w:r>
          </w:p>
        </w:tc>
        <w:tc>
          <w:tcPr>
            <w:tcW w:w="819" w:type="dxa"/>
          </w:tcPr>
          <w:p>
            <w:pPr>
              <w:jc w:val="center"/>
              <w:rPr>
                <w:rFonts w:ascii="仿宋" w:hAnsi="仿宋" w:eastAsia="仿宋" w:cs="仿宋"/>
                <w:color w:val="auto"/>
                <w:lang w:bidi="ar"/>
              </w:rPr>
            </w:pPr>
            <w:r>
              <w:rPr>
                <w:rFonts w:hint="eastAsia" w:ascii="仿宋" w:hAnsi="仿宋" w:eastAsia="仿宋" w:cs="仿宋"/>
                <w:color w:val="auto"/>
                <w:lang w:bidi="ar"/>
              </w:rPr>
              <w:t>一级</w:t>
            </w:r>
          </w:p>
        </w:tc>
        <w:tc>
          <w:tcPr>
            <w:tcW w:w="7448" w:type="dxa"/>
          </w:tcPr>
          <w:p>
            <w:pPr>
              <w:jc w:val="both"/>
              <w:rPr>
                <w:rFonts w:ascii="仿宋" w:hAnsi="仿宋" w:eastAsia="仿宋" w:cs="仿宋"/>
                <w:color w:val="auto"/>
                <w:lang w:bidi="ar"/>
              </w:rPr>
            </w:pPr>
            <w:r>
              <w:rPr>
                <w:rFonts w:hint="eastAsia" w:ascii="仿宋" w:hAnsi="仿宋" w:eastAsia="仿宋" w:cs="仿宋"/>
                <w:color w:val="auto"/>
                <w:lang w:bidi="ar"/>
              </w:rPr>
              <w:t>产品和服务实现过程复杂；客户发生质量事故后的社会关注度高，影响大，给公司的声誉带来负面影响或损失大；公司技术能力（资源）水平一般。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tcPr>
          <w:p>
            <w:pPr>
              <w:jc w:val="center"/>
              <w:rPr>
                <w:rFonts w:ascii="仿宋" w:hAnsi="仿宋" w:eastAsia="仿宋" w:cs="仿宋"/>
                <w:color w:val="auto"/>
                <w:lang w:bidi="ar"/>
              </w:rPr>
            </w:pPr>
            <w:r>
              <w:rPr>
                <w:rFonts w:hint="eastAsia" w:ascii="仿宋" w:hAnsi="仿宋" w:eastAsia="仿宋" w:cs="仿宋"/>
                <w:color w:val="auto"/>
                <w:lang w:bidi="ar"/>
              </w:rPr>
              <w:t>中</w:t>
            </w:r>
          </w:p>
        </w:tc>
        <w:tc>
          <w:tcPr>
            <w:tcW w:w="819" w:type="dxa"/>
          </w:tcPr>
          <w:p>
            <w:pPr>
              <w:jc w:val="center"/>
              <w:rPr>
                <w:rFonts w:ascii="仿宋" w:hAnsi="仿宋" w:eastAsia="仿宋" w:cs="仿宋"/>
                <w:color w:val="auto"/>
                <w:lang w:bidi="ar"/>
              </w:rPr>
            </w:pPr>
            <w:r>
              <w:rPr>
                <w:rFonts w:hint="eastAsia" w:ascii="仿宋" w:hAnsi="仿宋" w:eastAsia="仿宋" w:cs="仿宋"/>
                <w:color w:val="auto"/>
                <w:lang w:bidi="ar"/>
              </w:rPr>
              <w:t>二级</w:t>
            </w:r>
          </w:p>
        </w:tc>
        <w:tc>
          <w:tcPr>
            <w:tcW w:w="7448" w:type="dxa"/>
          </w:tcPr>
          <w:p>
            <w:pPr>
              <w:jc w:val="both"/>
              <w:rPr>
                <w:rFonts w:ascii="仿宋" w:hAnsi="仿宋" w:eastAsia="仿宋" w:cs="仿宋"/>
                <w:color w:val="auto"/>
                <w:lang w:bidi="ar"/>
              </w:rPr>
            </w:pPr>
            <w:r>
              <w:rPr>
                <w:rFonts w:hint="eastAsia" w:ascii="仿宋" w:hAnsi="仿宋" w:eastAsia="仿宋" w:cs="仿宋"/>
                <w:color w:val="auto"/>
                <w:lang w:bidi="ar"/>
              </w:rPr>
              <w:t>产品和服务实现过程较复杂；客户发生质量事故后的社会关注度较高，影响较大，给公司的声誉带来负面影响或损失较大；公司技术能力（资源）水平较高。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tcPr>
          <w:p>
            <w:pPr>
              <w:jc w:val="center"/>
              <w:rPr>
                <w:rFonts w:ascii="仿宋" w:hAnsi="仿宋" w:eastAsia="仿宋" w:cs="仿宋"/>
                <w:color w:val="auto"/>
                <w:lang w:bidi="ar"/>
              </w:rPr>
            </w:pPr>
            <w:r>
              <w:rPr>
                <w:rFonts w:hint="eastAsia" w:ascii="仿宋" w:hAnsi="仿宋" w:eastAsia="仿宋" w:cs="仿宋"/>
                <w:color w:val="auto"/>
                <w:lang w:bidi="ar"/>
              </w:rPr>
              <w:t>低</w:t>
            </w:r>
          </w:p>
        </w:tc>
        <w:tc>
          <w:tcPr>
            <w:tcW w:w="819" w:type="dxa"/>
          </w:tcPr>
          <w:p>
            <w:pPr>
              <w:jc w:val="center"/>
              <w:rPr>
                <w:rFonts w:ascii="仿宋" w:hAnsi="仿宋" w:eastAsia="仿宋" w:cs="仿宋"/>
                <w:color w:val="auto"/>
                <w:lang w:bidi="ar"/>
              </w:rPr>
            </w:pPr>
            <w:r>
              <w:rPr>
                <w:rFonts w:hint="eastAsia" w:ascii="仿宋" w:hAnsi="仿宋" w:eastAsia="仿宋" w:cs="仿宋"/>
                <w:color w:val="auto"/>
                <w:lang w:bidi="ar"/>
              </w:rPr>
              <w:t>三级</w:t>
            </w:r>
          </w:p>
        </w:tc>
        <w:tc>
          <w:tcPr>
            <w:tcW w:w="7448" w:type="dxa"/>
          </w:tcPr>
          <w:p>
            <w:pPr>
              <w:jc w:val="both"/>
              <w:rPr>
                <w:rFonts w:ascii="仿宋" w:hAnsi="仿宋" w:eastAsia="仿宋" w:cs="仿宋"/>
                <w:color w:val="auto"/>
                <w:lang w:bidi="ar"/>
              </w:rPr>
            </w:pPr>
            <w:r>
              <w:rPr>
                <w:rFonts w:hint="eastAsia" w:ascii="仿宋" w:hAnsi="仿宋" w:eastAsia="仿宋" w:cs="仿宋"/>
                <w:color w:val="auto"/>
                <w:lang w:bidi="ar"/>
              </w:rPr>
              <w:t>产品和服务实现过程复杂度一般；客户发生质量事故后的社会关注度一般，影响一般，给公司的声誉带来负面影响或损失一般；公司技术能力（资源）水平高。</w:t>
            </w:r>
          </w:p>
        </w:tc>
      </w:tr>
    </w:tbl>
    <w:p>
      <w:pPr>
        <w:spacing w:line="360" w:lineRule="auto"/>
        <w:jc w:val="both"/>
        <w:rPr>
          <w:rFonts w:ascii="仿宋" w:hAnsi="仿宋" w:eastAsia="仿宋" w:cs="仿宋"/>
          <w:color w:val="auto"/>
          <w:lang w:bidi="ar"/>
        </w:rPr>
      </w:pPr>
      <w:r>
        <w:rPr>
          <w:rFonts w:hint="eastAsia" w:ascii="仿宋" w:hAnsi="仿宋" w:eastAsia="仿宋" w:cs="仿宋"/>
          <w:color w:val="auto"/>
          <w:lang w:bidi="ar"/>
        </w:rPr>
        <w:t>技术领域划分结果，详见操作文件《QMS 技术领域明细表》。</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4.2.2 EMS 认证业务范围管理的分类原则和风险等级定义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(1)以 CNAS-GC01《管理体系认证机构认证业务范围能力管理实施指南》为基础，根据不同业务活动产生环境因素、环境影响、环境治理技术的相似性，环境因素复杂程度等，在技术分析和认证风险评估的基础上划分 EMS 技术领域。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(2) 分析和制定划分领域时，考虑以下方面的的共性： </w:t>
      </w:r>
    </w:p>
    <w:p>
      <w:pPr>
        <w:spacing w:line="360" w:lineRule="auto"/>
        <w:ind w:firstLine="480" w:firstLineChars="200"/>
        <w:jc w:val="both"/>
        <w:rPr>
          <w:rFonts w:ascii="仿宋" w:hAnsi="仿宋" w:eastAsia="仿宋" w:cs="仿宋"/>
          <w:color w:val="auto"/>
          <w:lang w:bidi="ar"/>
        </w:rPr>
      </w:pPr>
      <w:r>
        <w:rPr>
          <w:rFonts w:hint="eastAsia" w:ascii="仿宋" w:hAnsi="仿宋" w:eastAsia="仿宋" w:cs="仿宋"/>
          <w:color w:val="auto"/>
          <w:lang w:bidi="ar"/>
        </w:rPr>
        <w:t xml:space="preserve">a)环境因素和环境影响及其复杂程度（主要参考 CNAS-TRC-012 表3，如果表3中规定的复杂程度与 CNAS-CC105 不一致时，按 CC105 执行）的相同性； </w:t>
      </w:r>
    </w:p>
    <w:p>
      <w:pPr>
        <w:spacing w:line="360" w:lineRule="auto"/>
        <w:ind w:firstLine="480" w:firstLineChars="200"/>
        <w:jc w:val="both"/>
        <w:rPr>
          <w:rFonts w:ascii="仿宋" w:hAnsi="仿宋" w:eastAsia="仿宋" w:cs="仿宋"/>
          <w:color w:val="auto"/>
          <w:lang w:bidi="ar"/>
        </w:rPr>
      </w:pPr>
      <w:r>
        <w:rPr>
          <w:rFonts w:hint="eastAsia" w:ascii="仿宋" w:hAnsi="仿宋" w:eastAsia="仿宋" w:cs="仿宋"/>
          <w:color w:val="auto"/>
          <w:lang w:bidi="ar"/>
        </w:rPr>
        <w:t xml:space="preserve">b)产生重要环境因素的场所、设施以及环境治理技术的相似性； </w:t>
      </w:r>
    </w:p>
    <w:p>
      <w:pPr>
        <w:spacing w:line="360" w:lineRule="auto"/>
        <w:ind w:firstLine="480" w:firstLineChars="200"/>
        <w:jc w:val="both"/>
        <w:rPr>
          <w:rFonts w:ascii="仿宋" w:hAnsi="仿宋" w:eastAsia="仿宋" w:cs="仿宋"/>
          <w:color w:val="auto"/>
          <w:lang w:bidi="ar"/>
        </w:rPr>
      </w:pPr>
      <w:r>
        <w:rPr>
          <w:rFonts w:hint="eastAsia" w:ascii="仿宋" w:hAnsi="仿宋" w:eastAsia="仿宋" w:cs="仿宋"/>
          <w:color w:val="auto"/>
          <w:lang w:bidi="ar"/>
        </w:rPr>
        <w:t xml:space="preserve">c)组织特征的相似性。即不同产品/服务提供组织在业务运作流程、组织结构形式和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开展业务活动所需知识方面的共性； </w:t>
      </w:r>
    </w:p>
    <w:p>
      <w:pPr>
        <w:spacing w:line="360" w:lineRule="auto"/>
        <w:ind w:firstLine="480" w:firstLineChars="200"/>
        <w:jc w:val="both"/>
        <w:rPr>
          <w:rFonts w:ascii="仿宋" w:hAnsi="仿宋" w:eastAsia="仿宋" w:cs="仿宋"/>
          <w:color w:val="auto"/>
          <w:lang w:bidi="ar"/>
        </w:rPr>
      </w:pPr>
      <w:r>
        <w:rPr>
          <w:rFonts w:hint="eastAsia" w:ascii="仿宋" w:hAnsi="仿宋" w:eastAsia="仿宋" w:cs="仿宋"/>
          <w:color w:val="auto"/>
          <w:lang w:bidi="ar"/>
        </w:rPr>
        <w:t xml:space="preserve">d)法律法规要求的相似性，（如：行政许可要求、技术法规要求等）； </w:t>
      </w:r>
    </w:p>
    <w:p>
      <w:pPr>
        <w:spacing w:line="360" w:lineRule="auto"/>
        <w:ind w:firstLine="480" w:firstLineChars="200"/>
        <w:jc w:val="both"/>
        <w:rPr>
          <w:rFonts w:ascii="仿宋" w:hAnsi="仿宋" w:eastAsia="仿宋" w:cs="仿宋"/>
          <w:color w:val="auto"/>
          <w:lang w:bidi="ar"/>
        </w:rPr>
      </w:pPr>
      <w:r>
        <w:rPr>
          <w:rFonts w:hint="eastAsia" w:ascii="仿宋" w:hAnsi="仿宋" w:eastAsia="仿宋" w:cs="仿宋"/>
          <w:color w:val="auto"/>
          <w:lang w:bidi="ar"/>
        </w:rPr>
        <w:t xml:space="preserve">e)组织相关方期望的相似性。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（3）认证风险等级确定原则： </w:t>
      </w:r>
    </w:p>
    <w:p>
      <w:pPr>
        <w:spacing w:line="360" w:lineRule="auto"/>
        <w:ind w:firstLine="480" w:firstLineChars="200"/>
        <w:jc w:val="both"/>
        <w:rPr>
          <w:rFonts w:ascii="仿宋" w:hAnsi="仿宋" w:eastAsia="仿宋" w:cs="仿宋"/>
          <w:color w:val="auto"/>
          <w:lang w:bidi="ar"/>
        </w:rPr>
      </w:pPr>
      <w:r>
        <w:rPr>
          <w:rFonts w:hint="eastAsia" w:ascii="仿宋" w:hAnsi="仿宋" w:eastAsia="仿宋" w:cs="仿宋"/>
          <w:color w:val="auto"/>
          <w:lang w:bidi="ar"/>
        </w:rPr>
        <w:t>根据以下原则，同时参照 CNAS-CC105《确定管理体系审核时间》来确定。</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3"/>
        <w:gridCol w:w="819"/>
        <w:gridCol w:w="7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tcPr>
          <w:p>
            <w:pPr>
              <w:spacing w:line="360" w:lineRule="auto"/>
              <w:jc w:val="center"/>
              <w:rPr>
                <w:rFonts w:ascii="仿宋" w:hAnsi="仿宋" w:eastAsia="仿宋" w:cs="仿宋"/>
                <w:b/>
                <w:bCs/>
                <w:color w:val="auto"/>
                <w:lang w:bidi="ar"/>
              </w:rPr>
            </w:pPr>
            <w:r>
              <w:rPr>
                <w:rFonts w:hint="eastAsia" w:ascii="仿宋" w:hAnsi="仿宋" w:eastAsia="仿宋" w:cs="仿宋"/>
                <w:b/>
                <w:bCs/>
                <w:color w:val="auto"/>
                <w:lang w:bidi="ar"/>
              </w:rPr>
              <w:t>风险级别</w:t>
            </w:r>
          </w:p>
        </w:tc>
        <w:tc>
          <w:tcPr>
            <w:tcW w:w="819" w:type="dxa"/>
          </w:tcPr>
          <w:p>
            <w:pPr>
              <w:spacing w:line="360" w:lineRule="auto"/>
              <w:jc w:val="center"/>
              <w:rPr>
                <w:rFonts w:ascii="仿宋" w:hAnsi="仿宋" w:eastAsia="仿宋" w:cs="仿宋"/>
                <w:b/>
                <w:bCs/>
                <w:color w:val="auto"/>
                <w:lang w:bidi="ar"/>
              </w:rPr>
            </w:pPr>
            <w:r>
              <w:rPr>
                <w:rFonts w:hint="eastAsia" w:ascii="仿宋" w:hAnsi="仿宋" w:eastAsia="仿宋" w:cs="仿宋"/>
                <w:b/>
                <w:bCs/>
                <w:color w:val="auto"/>
                <w:lang w:bidi="ar"/>
              </w:rPr>
              <w:t>标识</w:t>
            </w:r>
          </w:p>
        </w:tc>
        <w:tc>
          <w:tcPr>
            <w:tcW w:w="7448" w:type="dxa"/>
          </w:tcPr>
          <w:p>
            <w:pPr>
              <w:spacing w:line="360" w:lineRule="auto"/>
              <w:jc w:val="center"/>
              <w:rPr>
                <w:rFonts w:ascii="仿宋" w:hAnsi="仿宋" w:eastAsia="仿宋" w:cs="仿宋"/>
                <w:b/>
                <w:bCs/>
                <w:color w:val="auto"/>
                <w:lang w:bidi="ar"/>
              </w:rPr>
            </w:pPr>
            <w:r>
              <w:rPr>
                <w:rFonts w:hint="eastAsia" w:ascii="仿宋" w:hAnsi="仿宋" w:eastAsia="仿宋" w:cs="仿宋"/>
                <w:b/>
                <w:bCs/>
                <w:color w:val="auto"/>
                <w:lang w:bidi="ar"/>
              </w:rPr>
              <w:t>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tcPr>
          <w:p>
            <w:pPr>
              <w:spacing w:line="360" w:lineRule="auto"/>
              <w:jc w:val="center"/>
              <w:rPr>
                <w:rFonts w:ascii="仿宋" w:hAnsi="仿宋" w:eastAsia="仿宋" w:cs="仿宋"/>
                <w:color w:val="auto"/>
                <w:lang w:bidi="ar"/>
              </w:rPr>
            </w:pPr>
            <w:r>
              <w:rPr>
                <w:rFonts w:hint="eastAsia" w:ascii="仿宋" w:hAnsi="仿宋" w:eastAsia="仿宋" w:cs="仿宋"/>
                <w:color w:val="auto"/>
                <w:lang w:bidi="ar"/>
              </w:rPr>
              <w:t>高</w:t>
            </w:r>
          </w:p>
        </w:tc>
        <w:tc>
          <w:tcPr>
            <w:tcW w:w="819" w:type="dxa"/>
          </w:tcPr>
          <w:p>
            <w:pPr>
              <w:spacing w:line="360" w:lineRule="auto"/>
              <w:jc w:val="both"/>
              <w:rPr>
                <w:rFonts w:ascii="仿宋" w:hAnsi="仿宋" w:eastAsia="仿宋" w:cs="仿宋"/>
                <w:color w:val="auto"/>
                <w:lang w:bidi="ar"/>
              </w:rPr>
            </w:pPr>
            <w:r>
              <w:rPr>
                <w:rFonts w:hint="eastAsia" w:ascii="仿宋" w:hAnsi="仿宋" w:eastAsia="仿宋" w:cs="仿宋"/>
                <w:color w:val="auto"/>
                <w:lang w:bidi="ar"/>
              </w:rPr>
              <w:t>一级</w:t>
            </w:r>
          </w:p>
        </w:tc>
        <w:tc>
          <w:tcPr>
            <w:tcW w:w="7448" w:type="dxa"/>
          </w:tcPr>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环境因素复杂度高，污染预防、治理技术要求和法规要求高；客户发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生污染事故后社会危害及影响大，给公司带来负面影响或损失大；公司技术能力（资源）水平一般。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tcPr>
          <w:p>
            <w:pPr>
              <w:spacing w:line="360" w:lineRule="auto"/>
              <w:jc w:val="center"/>
              <w:rPr>
                <w:rFonts w:ascii="仿宋" w:hAnsi="仿宋" w:eastAsia="仿宋" w:cs="仿宋"/>
                <w:color w:val="auto"/>
                <w:lang w:bidi="ar"/>
              </w:rPr>
            </w:pPr>
            <w:r>
              <w:rPr>
                <w:rFonts w:hint="eastAsia" w:ascii="仿宋" w:hAnsi="仿宋" w:eastAsia="仿宋" w:cs="仿宋"/>
                <w:color w:val="auto"/>
                <w:lang w:bidi="ar"/>
              </w:rPr>
              <w:t>中</w:t>
            </w:r>
          </w:p>
        </w:tc>
        <w:tc>
          <w:tcPr>
            <w:tcW w:w="819" w:type="dxa"/>
          </w:tcPr>
          <w:p>
            <w:pPr>
              <w:spacing w:line="360" w:lineRule="auto"/>
              <w:jc w:val="both"/>
              <w:rPr>
                <w:rFonts w:ascii="仿宋" w:hAnsi="仿宋" w:eastAsia="仿宋" w:cs="仿宋"/>
                <w:color w:val="auto"/>
                <w:lang w:bidi="ar"/>
              </w:rPr>
            </w:pPr>
            <w:r>
              <w:rPr>
                <w:rFonts w:hint="eastAsia" w:ascii="仿宋" w:hAnsi="仿宋" w:eastAsia="仿宋" w:cs="仿宋"/>
                <w:color w:val="auto"/>
                <w:lang w:bidi="ar"/>
              </w:rPr>
              <w:t>二级</w:t>
            </w:r>
          </w:p>
        </w:tc>
        <w:tc>
          <w:tcPr>
            <w:tcW w:w="7448" w:type="dxa"/>
          </w:tcPr>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环境因素复杂度较高，污染预防、治理技术要求和法规要求较高；客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户发生污染事故后社会危害及影响较大，给公司带来负面影响或损失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较大；公司技术能力（资源）水平较高。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tcPr>
          <w:p>
            <w:pPr>
              <w:spacing w:line="360" w:lineRule="auto"/>
              <w:jc w:val="center"/>
              <w:rPr>
                <w:rFonts w:ascii="仿宋" w:hAnsi="仿宋" w:eastAsia="仿宋" w:cs="仿宋"/>
                <w:color w:val="auto"/>
                <w:lang w:bidi="ar"/>
              </w:rPr>
            </w:pPr>
            <w:r>
              <w:rPr>
                <w:rFonts w:hint="eastAsia" w:ascii="仿宋" w:hAnsi="仿宋" w:eastAsia="仿宋" w:cs="仿宋"/>
                <w:color w:val="auto"/>
                <w:lang w:bidi="ar"/>
              </w:rPr>
              <w:t>低</w:t>
            </w:r>
          </w:p>
        </w:tc>
        <w:tc>
          <w:tcPr>
            <w:tcW w:w="819" w:type="dxa"/>
          </w:tcPr>
          <w:p>
            <w:pPr>
              <w:spacing w:line="360" w:lineRule="auto"/>
              <w:jc w:val="both"/>
              <w:rPr>
                <w:rFonts w:ascii="仿宋" w:hAnsi="仿宋" w:eastAsia="仿宋" w:cs="仿宋"/>
                <w:color w:val="auto"/>
                <w:lang w:bidi="ar"/>
              </w:rPr>
            </w:pPr>
            <w:r>
              <w:rPr>
                <w:rFonts w:hint="eastAsia" w:ascii="仿宋" w:hAnsi="仿宋" w:eastAsia="仿宋" w:cs="仿宋"/>
                <w:color w:val="auto"/>
                <w:lang w:bidi="ar"/>
              </w:rPr>
              <w:t>三级</w:t>
            </w:r>
          </w:p>
        </w:tc>
        <w:tc>
          <w:tcPr>
            <w:tcW w:w="7448" w:type="dxa"/>
          </w:tcPr>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环境因素复杂度一般，污染预防、治理技术要求和法规要求一般；客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户发生污染事故后社会危害及影响一般，给公司带来负面影响或损失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一般；公司技术能力（资源）水平高。</w:t>
            </w:r>
          </w:p>
        </w:tc>
      </w:tr>
    </w:tbl>
    <w:p>
      <w:pPr>
        <w:spacing w:line="360" w:lineRule="auto"/>
        <w:jc w:val="both"/>
        <w:rPr>
          <w:rFonts w:ascii="仿宋" w:hAnsi="仿宋" w:eastAsia="仿宋" w:cs="仿宋"/>
          <w:color w:val="auto"/>
          <w:lang w:bidi="ar"/>
        </w:rPr>
      </w:pPr>
      <w:r>
        <w:rPr>
          <w:rFonts w:hint="eastAsia" w:ascii="仿宋" w:hAnsi="仿宋" w:eastAsia="仿宋" w:cs="仿宋"/>
          <w:color w:val="auto"/>
          <w:lang w:bidi="ar"/>
        </w:rPr>
        <w:t>技术领域划分结果，详见操作文件《EMS 技术领域明细表》。</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4.2.3 OHSMS 认证业务范围管理的分类原则和风险等级定义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(1)以 CNAS-GC01:2017《管理体系认证机构认证业务范围能力管理实施指南》为基础，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根据不同业务活动产生职业健康安全风险、环境因素复杂程度等，在技术分析和认证风险评估的基础上划分 EMS 技术领域。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(2)分析和制定划分领域时，考虑以下方面的共性： </w:t>
      </w:r>
    </w:p>
    <w:p>
      <w:pPr>
        <w:spacing w:line="360" w:lineRule="auto"/>
        <w:ind w:firstLine="480" w:firstLineChars="200"/>
        <w:jc w:val="both"/>
        <w:rPr>
          <w:rFonts w:ascii="仿宋" w:hAnsi="仿宋" w:eastAsia="仿宋" w:cs="仿宋"/>
          <w:color w:val="auto"/>
          <w:lang w:bidi="ar"/>
        </w:rPr>
      </w:pPr>
      <w:r>
        <w:rPr>
          <w:rFonts w:hint="eastAsia" w:ascii="仿宋" w:hAnsi="仿宋" w:eastAsia="仿宋" w:cs="仿宋"/>
          <w:color w:val="auto"/>
          <w:lang w:bidi="ar"/>
        </w:rPr>
        <w:t>a)职业健康安全风险等级（主要参考 CNAS-TRC-012 表 3，如果表 3 中规定的复杂程度与 CNAS-CC105 不一致时，按 CC105 执行）的相同性；</w:t>
      </w:r>
      <w:r>
        <w:rPr>
          <w:rFonts w:hint="eastAsia" w:ascii="仿宋" w:hAnsi="仿宋" w:eastAsia="仿宋" w:cs="仿宋"/>
          <w:color w:val="auto"/>
          <w:lang w:bidi="ar"/>
        </w:rPr>
        <w:t>对于 OHSMS 来说，“技术领域”是与过程或服务及其相关的能使员工暴露在</w:t>
      </w:r>
      <w:r>
        <w:rPr>
          <w:rFonts w:ascii="仿宋" w:hAnsi="仿宋" w:eastAsia="仿宋" w:cs="仿宋"/>
          <w:color w:val="auto"/>
          <w:lang w:bidi="ar"/>
        </w:rPr>
        <w:t>OHS</w:t>
      </w:r>
      <w:r>
        <w:rPr>
          <w:rFonts w:hint="eastAsia" w:ascii="仿宋" w:hAnsi="仿宋" w:eastAsia="仿宋" w:cs="仿宋"/>
          <w:color w:val="auto"/>
          <w:lang w:bidi="ar"/>
        </w:rPr>
        <w:t>风险中的危险源的共性有关的领域。</w:t>
      </w:r>
      <w:r>
        <w:rPr>
          <w:rFonts w:hint="eastAsia" w:ascii="仿宋" w:hAnsi="仿宋" w:eastAsia="仿宋" w:cs="仿宋"/>
          <w:color w:val="auto"/>
          <w:lang w:bidi="ar"/>
        </w:rPr>
        <w:t xml:space="preserve"> </w:t>
      </w:r>
    </w:p>
    <w:p>
      <w:pPr>
        <w:spacing w:line="360" w:lineRule="auto"/>
        <w:ind w:firstLine="480" w:firstLineChars="200"/>
        <w:jc w:val="both"/>
        <w:rPr>
          <w:rFonts w:ascii="仿宋" w:hAnsi="仿宋" w:eastAsia="仿宋" w:cs="仿宋"/>
          <w:color w:val="auto"/>
          <w:lang w:bidi="ar"/>
        </w:rPr>
      </w:pPr>
      <w:r>
        <w:rPr>
          <w:rFonts w:hint="eastAsia" w:ascii="仿宋" w:hAnsi="仿宋" w:eastAsia="仿宋" w:cs="仿宋"/>
          <w:color w:val="auto"/>
          <w:lang w:bidi="ar"/>
        </w:rPr>
        <w:t xml:space="preserve">b)产生重要危险源（安全危害、职业危害）的场所、设施、作业环境/条件以及职业病预防、安全防范技术的相似性； </w:t>
      </w:r>
    </w:p>
    <w:p>
      <w:pPr>
        <w:spacing w:line="360" w:lineRule="auto"/>
        <w:ind w:firstLine="480" w:firstLineChars="200"/>
        <w:jc w:val="both"/>
        <w:rPr>
          <w:rFonts w:ascii="仿宋" w:hAnsi="仿宋" w:eastAsia="仿宋" w:cs="仿宋"/>
          <w:color w:val="auto"/>
          <w:lang w:bidi="ar"/>
        </w:rPr>
      </w:pPr>
      <w:r>
        <w:rPr>
          <w:rFonts w:hint="eastAsia" w:ascii="仿宋" w:hAnsi="仿宋" w:eastAsia="仿宋" w:cs="仿宋"/>
          <w:color w:val="auto"/>
          <w:lang w:bidi="ar"/>
        </w:rPr>
        <w:t xml:space="preserve">c)组织特征的相似性。即不同产品/服务提供组织在业务运作流程、组织结构形式和开展业务活动所需知识方面的共性； </w:t>
      </w:r>
    </w:p>
    <w:p>
      <w:pPr>
        <w:spacing w:line="360" w:lineRule="auto"/>
        <w:ind w:firstLine="480" w:firstLineChars="200"/>
        <w:jc w:val="both"/>
        <w:rPr>
          <w:rFonts w:ascii="仿宋" w:hAnsi="仿宋" w:eastAsia="仿宋" w:cs="仿宋"/>
          <w:color w:val="auto"/>
          <w:lang w:bidi="ar"/>
        </w:rPr>
      </w:pPr>
      <w:r>
        <w:rPr>
          <w:rFonts w:hint="eastAsia" w:ascii="仿宋" w:hAnsi="仿宋" w:eastAsia="仿宋" w:cs="仿宋"/>
          <w:color w:val="auto"/>
          <w:lang w:bidi="ar"/>
        </w:rPr>
        <w:t xml:space="preserve">d)法律法规要求的相似性，（如：行政许可要求、技术法规要求等）； </w:t>
      </w:r>
    </w:p>
    <w:p>
      <w:pPr>
        <w:spacing w:line="360" w:lineRule="auto"/>
        <w:ind w:firstLine="480" w:firstLineChars="200"/>
        <w:jc w:val="both"/>
        <w:rPr>
          <w:rFonts w:ascii="仿宋" w:hAnsi="仿宋" w:eastAsia="仿宋" w:cs="仿宋"/>
          <w:color w:val="auto"/>
          <w:lang w:bidi="ar"/>
        </w:rPr>
      </w:pPr>
      <w:r>
        <w:rPr>
          <w:rFonts w:hint="eastAsia" w:ascii="仿宋" w:hAnsi="仿宋" w:eastAsia="仿宋" w:cs="仿宋"/>
          <w:color w:val="auto"/>
          <w:lang w:bidi="ar"/>
        </w:rPr>
        <w:t xml:space="preserve">e)组织相关方期望的相似性。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（3）认证风险等级确定原则： </w:t>
      </w:r>
    </w:p>
    <w:p>
      <w:pPr>
        <w:spacing w:line="360" w:lineRule="auto"/>
        <w:ind w:firstLine="480" w:firstLineChars="200"/>
        <w:jc w:val="both"/>
        <w:rPr>
          <w:rFonts w:ascii="仿宋" w:hAnsi="仿宋" w:eastAsia="仿宋" w:cs="仿宋"/>
          <w:color w:val="auto"/>
          <w:lang w:bidi="ar"/>
        </w:rPr>
      </w:pPr>
      <w:r>
        <w:rPr>
          <w:rFonts w:hint="eastAsia" w:ascii="仿宋" w:hAnsi="仿宋" w:eastAsia="仿宋" w:cs="仿宋"/>
          <w:color w:val="auto"/>
          <w:lang w:bidi="ar"/>
        </w:rPr>
        <w:t>根据以下原则，同时参照 CNAS-CC105《确定管理体系审核时间》、CNAS-TRC-012 来确定。</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3"/>
        <w:gridCol w:w="819"/>
        <w:gridCol w:w="7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tcPr>
          <w:p>
            <w:pPr>
              <w:spacing w:line="360" w:lineRule="auto"/>
              <w:jc w:val="center"/>
              <w:rPr>
                <w:rFonts w:ascii="仿宋" w:hAnsi="仿宋" w:eastAsia="仿宋" w:cs="仿宋"/>
                <w:b/>
                <w:bCs/>
                <w:color w:val="auto"/>
                <w:lang w:bidi="ar"/>
              </w:rPr>
            </w:pPr>
            <w:r>
              <w:rPr>
                <w:rFonts w:hint="eastAsia" w:ascii="仿宋" w:hAnsi="仿宋" w:eastAsia="仿宋" w:cs="仿宋"/>
                <w:b/>
                <w:bCs/>
                <w:color w:val="auto"/>
                <w:lang w:bidi="ar"/>
              </w:rPr>
              <w:t>风险级别</w:t>
            </w:r>
          </w:p>
        </w:tc>
        <w:tc>
          <w:tcPr>
            <w:tcW w:w="819" w:type="dxa"/>
          </w:tcPr>
          <w:p>
            <w:pPr>
              <w:spacing w:line="360" w:lineRule="auto"/>
              <w:jc w:val="center"/>
              <w:rPr>
                <w:rFonts w:ascii="仿宋" w:hAnsi="仿宋" w:eastAsia="仿宋" w:cs="仿宋"/>
                <w:b/>
                <w:bCs/>
                <w:color w:val="auto"/>
                <w:lang w:bidi="ar"/>
              </w:rPr>
            </w:pPr>
            <w:r>
              <w:rPr>
                <w:rFonts w:hint="eastAsia" w:ascii="仿宋" w:hAnsi="仿宋" w:eastAsia="仿宋" w:cs="仿宋"/>
                <w:b/>
                <w:bCs/>
                <w:color w:val="auto"/>
                <w:lang w:bidi="ar"/>
              </w:rPr>
              <w:t>标识</w:t>
            </w:r>
          </w:p>
        </w:tc>
        <w:tc>
          <w:tcPr>
            <w:tcW w:w="7448" w:type="dxa"/>
          </w:tcPr>
          <w:p>
            <w:pPr>
              <w:spacing w:line="360" w:lineRule="auto"/>
              <w:jc w:val="center"/>
              <w:rPr>
                <w:rFonts w:ascii="仿宋" w:hAnsi="仿宋" w:eastAsia="仿宋" w:cs="仿宋"/>
                <w:b/>
                <w:bCs/>
                <w:color w:val="auto"/>
                <w:lang w:bidi="ar"/>
              </w:rPr>
            </w:pPr>
            <w:r>
              <w:rPr>
                <w:rFonts w:hint="eastAsia" w:ascii="仿宋" w:hAnsi="仿宋" w:eastAsia="仿宋" w:cs="仿宋"/>
                <w:b/>
                <w:bCs/>
                <w:color w:val="auto"/>
                <w:lang w:bidi="ar"/>
              </w:rPr>
              <w:t>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tcPr>
          <w:p>
            <w:pPr>
              <w:spacing w:line="360" w:lineRule="auto"/>
              <w:jc w:val="center"/>
              <w:rPr>
                <w:rFonts w:ascii="仿宋" w:hAnsi="仿宋" w:eastAsia="仿宋" w:cs="仿宋"/>
                <w:color w:val="auto"/>
                <w:lang w:bidi="ar"/>
              </w:rPr>
            </w:pPr>
            <w:r>
              <w:rPr>
                <w:rFonts w:hint="eastAsia" w:ascii="仿宋" w:hAnsi="仿宋" w:eastAsia="仿宋" w:cs="仿宋"/>
                <w:color w:val="auto"/>
                <w:lang w:bidi="ar"/>
              </w:rPr>
              <w:t>高</w:t>
            </w:r>
          </w:p>
        </w:tc>
        <w:tc>
          <w:tcPr>
            <w:tcW w:w="819" w:type="dxa"/>
          </w:tcPr>
          <w:p>
            <w:pPr>
              <w:spacing w:line="360" w:lineRule="auto"/>
              <w:jc w:val="both"/>
              <w:rPr>
                <w:rFonts w:ascii="仿宋" w:hAnsi="仿宋" w:eastAsia="仿宋" w:cs="仿宋"/>
                <w:color w:val="auto"/>
                <w:lang w:bidi="ar"/>
              </w:rPr>
            </w:pPr>
            <w:r>
              <w:rPr>
                <w:rFonts w:hint="eastAsia" w:ascii="仿宋" w:hAnsi="仿宋" w:eastAsia="仿宋" w:cs="仿宋"/>
                <w:color w:val="auto"/>
                <w:lang w:bidi="ar"/>
              </w:rPr>
              <w:t>一级</w:t>
            </w:r>
          </w:p>
        </w:tc>
        <w:tc>
          <w:tcPr>
            <w:tcW w:w="7448" w:type="dxa"/>
          </w:tcPr>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职业健康安全事故发生频率和后果严重程度及法规要求高；客户发生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事故，给公司带来的影响或损失大；公司技术能力（资源）水平一般。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tcPr>
          <w:p>
            <w:pPr>
              <w:spacing w:line="360" w:lineRule="auto"/>
              <w:jc w:val="center"/>
              <w:rPr>
                <w:rFonts w:ascii="仿宋" w:hAnsi="仿宋" w:eastAsia="仿宋" w:cs="仿宋"/>
                <w:color w:val="auto"/>
                <w:lang w:bidi="ar"/>
              </w:rPr>
            </w:pPr>
            <w:r>
              <w:rPr>
                <w:rFonts w:hint="eastAsia" w:ascii="仿宋" w:hAnsi="仿宋" w:eastAsia="仿宋" w:cs="仿宋"/>
                <w:color w:val="auto"/>
                <w:lang w:bidi="ar"/>
              </w:rPr>
              <w:t>中</w:t>
            </w:r>
          </w:p>
        </w:tc>
        <w:tc>
          <w:tcPr>
            <w:tcW w:w="819" w:type="dxa"/>
          </w:tcPr>
          <w:p>
            <w:pPr>
              <w:spacing w:line="360" w:lineRule="auto"/>
              <w:jc w:val="both"/>
              <w:rPr>
                <w:rFonts w:ascii="仿宋" w:hAnsi="仿宋" w:eastAsia="仿宋" w:cs="仿宋"/>
                <w:color w:val="auto"/>
                <w:lang w:bidi="ar"/>
              </w:rPr>
            </w:pPr>
            <w:r>
              <w:rPr>
                <w:rFonts w:hint="eastAsia" w:ascii="仿宋" w:hAnsi="仿宋" w:eastAsia="仿宋" w:cs="仿宋"/>
                <w:color w:val="auto"/>
                <w:lang w:bidi="ar"/>
              </w:rPr>
              <w:t>二级</w:t>
            </w:r>
          </w:p>
        </w:tc>
        <w:tc>
          <w:tcPr>
            <w:tcW w:w="7448" w:type="dxa"/>
          </w:tcPr>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职业健康安全事故发生频率和后果严重程度及法规要求较高；客户发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生事故，给公司带来的影响或损失较大；公司技术能力（资源）水平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较高。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3" w:type="dxa"/>
          </w:tcPr>
          <w:p>
            <w:pPr>
              <w:spacing w:line="360" w:lineRule="auto"/>
              <w:jc w:val="center"/>
              <w:rPr>
                <w:rFonts w:ascii="仿宋" w:hAnsi="仿宋" w:eastAsia="仿宋" w:cs="仿宋"/>
                <w:color w:val="auto"/>
                <w:lang w:bidi="ar"/>
              </w:rPr>
            </w:pPr>
            <w:r>
              <w:rPr>
                <w:rFonts w:hint="eastAsia" w:ascii="仿宋" w:hAnsi="仿宋" w:eastAsia="仿宋" w:cs="仿宋"/>
                <w:color w:val="auto"/>
                <w:lang w:bidi="ar"/>
              </w:rPr>
              <w:t>低</w:t>
            </w:r>
          </w:p>
        </w:tc>
        <w:tc>
          <w:tcPr>
            <w:tcW w:w="819" w:type="dxa"/>
          </w:tcPr>
          <w:p>
            <w:pPr>
              <w:spacing w:line="360" w:lineRule="auto"/>
              <w:jc w:val="both"/>
              <w:rPr>
                <w:rFonts w:ascii="仿宋" w:hAnsi="仿宋" w:eastAsia="仿宋" w:cs="仿宋"/>
                <w:color w:val="auto"/>
                <w:lang w:bidi="ar"/>
              </w:rPr>
            </w:pPr>
            <w:r>
              <w:rPr>
                <w:rFonts w:hint="eastAsia" w:ascii="仿宋" w:hAnsi="仿宋" w:eastAsia="仿宋" w:cs="仿宋"/>
                <w:color w:val="auto"/>
                <w:lang w:bidi="ar"/>
              </w:rPr>
              <w:t>三级</w:t>
            </w:r>
          </w:p>
        </w:tc>
        <w:tc>
          <w:tcPr>
            <w:tcW w:w="7448" w:type="dxa"/>
          </w:tcPr>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职业健康安全事故发生频率和后果严重程度及法规要求一般；客户发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生事故，给公司带来的影响或损失一般；公司技术能力（资源）水平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一般。</w:t>
            </w:r>
          </w:p>
        </w:tc>
      </w:tr>
    </w:tbl>
    <w:p>
      <w:pPr>
        <w:spacing w:line="360" w:lineRule="auto"/>
        <w:jc w:val="both"/>
        <w:rPr>
          <w:rFonts w:ascii="仿宋" w:hAnsi="仿宋" w:eastAsia="仿宋" w:cs="仿宋"/>
          <w:color w:val="auto"/>
          <w:lang w:bidi="ar"/>
        </w:rPr>
      </w:pPr>
      <w:r>
        <w:rPr>
          <w:rFonts w:hint="eastAsia" w:ascii="仿宋" w:hAnsi="仿宋" w:eastAsia="仿宋" w:cs="仿宋"/>
          <w:color w:val="auto"/>
          <w:lang w:bidi="ar"/>
        </w:rPr>
        <w:t>技术领域划分结果，详见操作文件《OHSMS 技术领域明细表》。</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4.3 认证业务范围分类的管理要求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4.3.1 公司根据上述规定的认证业务范围管理的分类原则对拟开展认证业务的技术领域进行分类管理。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4.3.2 技委会组织专业技术人员,按照本文件 4.2 条款规定,对不同技术领域的过程共性等进行深入技术分析,分析结果应形成《技术领域与专业能力准则分析表》。作为技术领域划分的依据和审核员专业能力评价准则《特别是与客户业务领域和与客户的产品/过程相关知识相关的能力准则)、专业培训需求、审核作业文件编制需求的输出。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4.3.3 技委会根据批准的《技术领域与专业能力准则分析表》，编制和定期更新《技术领域明细表》。该《明细表》应与《技术领域与专业能力准则分析表》中确定的技术领域代码（包括对应的认可业务范围小类代码）相一致。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4.3.4 综合部应根据认证风险评价结果、法律法规要求变化、审核方案监视和评审结果等，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组织专业技术人员对原有分析结果进行重新评价，并根据重新评价结果，更新相关记录。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4.3.5 综合部应根据技术领域分析结果，对相关审核人员专业能力进行重新评价和(或)确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认。并根据重新评价/确认结果，及时更新人员管理项目系统专业代码。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4.4 专业审核指导书需求分析和编制原则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4.4.1 根据《技术领域专业分析表》分析结果，并结合人力资源情况（专业审核员数量和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能力评价结果）确定编制专业审核指导书的需求，编制《专业审核指导书》。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4.4.2 原则上，认证风险等级为一级的技术领域，宜编制《专业审核指导书》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4.5 认证业务范围的确定和批准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4.5.1 公司开展的认证活动, 应在获得国家认监委批准的认证领域内进行。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4.5.2 开展认证活动的业务范围，应具备以下条件：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(1)对认证业务范围进行了专业能力分析和评价并形成了文件；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(2)</w:t>
      </w:r>
      <w:r>
        <w:rPr>
          <w:rStyle w:val="20"/>
          <w:rFonts w:hint="default" w:ascii="仿宋" w:hAnsi="仿宋" w:eastAsia="仿宋"/>
          <w:color w:val="auto"/>
        </w:rPr>
        <w:t>在大类中应具有相应的专业管理能力，并具备其中某一个技术领域的专业能力，至少应配备了一名专业审核员和一名认证决定人员/技术专家</w:t>
      </w:r>
      <w:r>
        <w:rPr>
          <w:rStyle w:val="20"/>
          <w:rFonts w:hint="default"/>
          <w:color w:val="auto"/>
        </w:rPr>
        <w:t>。</w:t>
      </w:r>
      <w:r>
        <w:rPr>
          <w:rFonts w:hint="eastAsia" w:ascii="仿宋" w:hAnsi="仿宋" w:eastAsia="仿宋" w:cs="仿宋"/>
          <w:color w:val="auto"/>
          <w:lang w:bidi="ar"/>
        </w:rPr>
        <w:t xml:space="preserve">；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 3)依据上述4.4的要求,编制了必要的审核指导书。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4.6 管理体系认证业务范围扩大或缩小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4.6.1 认证业务范围扩大（大类或关键代码专业）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(1)根据技术领域划分原则和认证风险等级确定原则，对拟申请认可业务范围大类进行技术领域划分，并确定不同技术领域的风险等级。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(2)根据本程序4.1.2条款要求进行技术领域分析。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(3)根据技术领域分析确定的能力准则，对相关人员进行专业能力评定。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(4)根据每个技术领域的专业能力需求及专业能力的配备的实际情况,进行培训需求分析和专业审核指导性文件的编制需求分析;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(5)按需要组织相关人员编制专业审核指导书;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(6)每个技术领域必须至少配备1名具有相应能力专业审核员或技术专家。</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(7) 扩大认证业务范围（大类）的准备和申报工作参照CNAS相关要求。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(8) 向 CNAS 申报的材料 </w:t>
      </w:r>
    </w:p>
    <w:p>
      <w:pPr>
        <w:spacing w:line="360" w:lineRule="auto"/>
        <w:ind w:firstLine="480" w:firstLineChars="200"/>
        <w:jc w:val="both"/>
        <w:rPr>
          <w:rFonts w:ascii="仿宋" w:hAnsi="仿宋" w:eastAsia="仿宋" w:cs="仿宋"/>
          <w:color w:val="auto"/>
          <w:lang w:bidi="ar"/>
        </w:rPr>
      </w:pPr>
      <w:r>
        <w:rPr>
          <w:rFonts w:hint="eastAsia" w:ascii="仿宋" w:hAnsi="仿宋" w:eastAsia="仿宋" w:cs="仿宋"/>
          <w:color w:val="auto"/>
          <w:lang w:bidi="ar"/>
        </w:rPr>
        <w:t xml:space="preserve">a) CNAS 扩项申请书； </w:t>
      </w:r>
    </w:p>
    <w:p>
      <w:pPr>
        <w:spacing w:line="360" w:lineRule="auto"/>
        <w:ind w:firstLine="480" w:firstLineChars="200"/>
        <w:jc w:val="both"/>
        <w:rPr>
          <w:rFonts w:ascii="仿宋" w:hAnsi="仿宋" w:eastAsia="仿宋" w:cs="仿宋"/>
          <w:color w:val="auto"/>
          <w:lang w:bidi="ar"/>
        </w:rPr>
      </w:pPr>
      <w:r>
        <w:rPr>
          <w:rFonts w:hint="eastAsia" w:ascii="仿宋" w:hAnsi="仿宋" w:eastAsia="仿宋" w:cs="仿宋"/>
          <w:color w:val="auto"/>
          <w:lang w:bidi="ar"/>
        </w:rPr>
        <w:t xml:space="preserve">b) 拟扩专业的能力分析与评价报告; </w:t>
      </w:r>
      <w:bookmarkStart w:id="7" w:name="_GoBack"/>
      <w:bookmarkEnd w:id="7"/>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    e) 相关审核员/技术专家、认证决定人员的专业能力评定记录及相关的背景材料； </w:t>
      </w:r>
    </w:p>
    <w:p>
      <w:pPr>
        <w:spacing w:line="360" w:lineRule="auto"/>
        <w:ind w:firstLine="480" w:firstLineChars="200"/>
        <w:jc w:val="both"/>
        <w:rPr>
          <w:rFonts w:hint="eastAsia" w:ascii="仿宋" w:hAnsi="仿宋" w:eastAsia="仿宋" w:cs="仿宋"/>
          <w:color w:val="auto"/>
          <w:lang w:bidi="ar"/>
        </w:rPr>
      </w:pPr>
      <w:r>
        <w:rPr>
          <w:rFonts w:hint="eastAsia" w:ascii="仿宋" w:hAnsi="仿宋" w:eastAsia="仿宋" w:cs="仿宋"/>
          <w:color w:val="auto"/>
          <w:lang w:bidi="ar"/>
        </w:rPr>
        <w:t xml:space="preserve">f) 相应业务范围专业审核指导书（必要时）。 </w:t>
      </w:r>
    </w:p>
    <w:p>
      <w:pPr>
        <w:spacing w:line="360" w:lineRule="auto"/>
        <w:ind w:firstLine="0" w:firstLineChars="0"/>
        <w:jc w:val="both"/>
        <w:rPr>
          <w:rFonts w:ascii="仿宋" w:hAnsi="仿宋" w:eastAsia="仿宋"/>
          <w:color w:val="auto"/>
          <w:sz w:val="24"/>
          <w:szCs w:val="24"/>
        </w:rPr>
      </w:pPr>
      <w:r>
        <w:rPr>
          <w:rFonts w:hint="eastAsia" w:ascii="仿宋" w:hAnsi="仿宋" w:eastAsia="仿宋"/>
          <w:color w:val="auto"/>
          <w:sz w:val="24"/>
          <w:szCs w:val="24"/>
        </w:rPr>
        <w:t>（9）</w:t>
      </w:r>
      <w:r>
        <w:rPr>
          <w:rFonts w:ascii="仿宋" w:hAnsi="仿宋" w:eastAsia="仿宋"/>
          <w:color w:val="auto"/>
          <w:sz w:val="24"/>
          <w:szCs w:val="24"/>
        </w:rPr>
        <w:t>经</w:t>
      </w:r>
      <w:r>
        <w:rPr>
          <w:rFonts w:hint="eastAsia" w:ascii="仿宋" w:hAnsi="仿宋" w:eastAsia="仿宋"/>
          <w:color w:val="auto"/>
          <w:sz w:val="24"/>
          <w:szCs w:val="24"/>
        </w:rPr>
        <w:t>CNAS</w:t>
      </w:r>
      <w:r>
        <w:rPr>
          <w:rFonts w:ascii="仿宋" w:hAnsi="仿宋" w:eastAsia="仿宋"/>
          <w:color w:val="auto"/>
          <w:sz w:val="24"/>
          <w:szCs w:val="24"/>
        </w:rPr>
        <w:t>实施评审和必要的见证获得扩大认证范围的认可后，即可在认可范围内开展认证活动，并颁发带认可标志的认证证书。</w:t>
      </w:r>
      <w:r>
        <w:rPr>
          <w:rFonts w:hint="eastAsia" w:ascii="仿宋" w:hAnsi="仿宋" w:eastAsia="仿宋"/>
          <w:color w:val="auto"/>
          <w:sz w:val="24"/>
          <w:szCs w:val="24"/>
        </w:rPr>
        <w:t>已颁发的涉及</w:t>
      </w:r>
      <w:r>
        <w:rPr>
          <w:rFonts w:hint="eastAsia" w:ascii="仿宋" w:hAnsi="仿宋" w:eastAsia="仿宋"/>
          <w:color w:val="auto"/>
          <w:sz w:val="24"/>
          <w:szCs w:val="24"/>
          <w:lang w:val="en-US" w:eastAsia="zh-CN"/>
        </w:rPr>
        <w:t>认可</w:t>
      </w:r>
      <w:r>
        <w:rPr>
          <w:rFonts w:hint="eastAsia" w:ascii="仿宋" w:hAnsi="仿宋" w:eastAsia="仿宋"/>
          <w:color w:val="auto"/>
          <w:sz w:val="24"/>
          <w:szCs w:val="24"/>
        </w:rPr>
        <w:t>业务范围的不带认可标</w:t>
      </w:r>
      <w:r>
        <w:rPr>
          <w:rFonts w:hint="eastAsia" w:ascii="仿宋" w:hAnsi="仿宋" w:eastAsia="仿宋"/>
          <w:color w:val="auto"/>
          <w:sz w:val="24"/>
          <w:szCs w:val="24"/>
          <w:lang w:val="en-US" w:eastAsia="zh-CN"/>
        </w:rPr>
        <w:t>志</w:t>
      </w:r>
      <w:r>
        <w:rPr>
          <w:rFonts w:hint="eastAsia" w:ascii="仿宋" w:hAnsi="仿宋" w:eastAsia="仿宋"/>
          <w:color w:val="auto"/>
          <w:sz w:val="24"/>
          <w:szCs w:val="24"/>
        </w:rPr>
        <w:t>的证书，如果上次审核未超过三个月，</w:t>
      </w:r>
      <w:r>
        <w:rPr>
          <w:rFonts w:hint="eastAsia" w:ascii="仿宋" w:hAnsi="仿宋" w:eastAsia="仿宋"/>
          <w:color w:val="auto"/>
          <w:sz w:val="24"/>
          <w:szCs w:val="24"/>
          <w:lang w:val="en-US" w:eastAsia="zh-CN"/>
        </w:rPr>
        <w:t>本机构</w:t>
      </w:r>
      <w:r>
        <w:rPr>
          <w:rFonts w:hint="eastAsia" w:ascii="仿宋" w:hAnsi="仿宋" w:eastAsia="仿宋"/>
          <w:color w:val="auto"/>
          <w:sz w:val="24"/>
          <w:szCs w:val="24"/>
        </w:rPr>
        <w:t>可通过对认证结果进行评估（评估内容：专业代码、审核实施人员能力、</w:t>
      </w:r>
      <w:r>
        <w:rPr>
          <w:rFonts w:hint="eastAsia" w:ascii="仿宋" w:hAnsi="仿宋" w:eastAsia="仿宋"/>
          <w:color w:val="auto"/>
          <w:sz w:val="24"/>
          <w:szCs w:val="24"/>
          <w:lang w:val="en-US" w:eastAsia="zh-CN"/>
        </w:rPr>
        <w:t>审核时间、</w:t>
      </w:r>
      <w:r>
        <w:rPr>
          <w:rFonts w:hint="eastAsia" w:ascii="仿宋" w:hAnsi="仿宋" w:eastAsia="仿宋"/>
          <w:color w:val="auto"/>
          <w:sz w:val="24"/>
          <w:szCs w:val="24"/>
        </w:rPr>
        <w:t>审核有效性</w:t>
      </w:r>
      <w:r>
        <w:rPr>
          <w:rFonts w:hint="eastAsia" w:ascii="仿宋" w:hAnsi="仿宋" w:eastAsia="仿宋"/>
          <w:color w:val="auto"/>
          <w:sz w:val="24"/>
          <w:szCs w:val="24"/>
          <w:lang w:eastAsia="zh-CN"/>
        </w:rPr>
        <w:t>、</w:t>
      </w:r>
      <w:r>
        <w:rPr>
          <w:rFonts w:hint="eastAsia" w:ascii="仿宋" w:hAnsi="仿宋" w:eastAsia="仿宋"/>
          <w:color w:val="auto"/>
          <w:sz w:val="24"/>
          <w:szCs w:val="24"/>
          <w:lang w:val="en-US" w:eastAsia="zh-CN"/>
        </w:rPr>
        <w:t>法规要求</w:t>
      </w:r>
      <w:r>
        <w:rPr>
          <w:rFonts w:hint="eastAsia" w:ascii="仿宋" w:hAnsi="仿宋" w:eastAsia="仿宋"/>
          <w:color w:val="auto"/>
          <w:sz w:val="24"/>
          <w:szCs w:val="24"/>
        </w:rPr>
        <w:t>等），</w:t>
      </w:r>
      <w:r>
        <w:rPr>
          <w:rFonts w:hint="eastAsia" w:ascii="仿宋" w:hAnsi="仿宋" w:eastAsia="仿宋"/>
          <w:color w:val="auto"/>
          <w:sz w:val="24"/>
          <w:szCs w:val="24"/>
          <w:lang w:val="en-US" w:eastAsia="zh-CN"/>
        </w:rPr>
        <w:t>确认</w:t>
      </w:r>
      <w:r>
        <w:rPr>
          <w:rFonts w:hint="eastAsia" w:ascii="仿宋" w:hAnsi="仿宋" w:eastAsia="仿宋"/>
          <w:color w:val="auto"/>
          <w:sz w:val="24"/>
          <w:szCs w:val="24"/>
        </w:rPr>
        <w:t>满足认可要求</w:t>
      </w:r>
      <w:r>
        <w:rPr>
          <w:rFonts w:hint="eastAsia" w:ascii="仿宋" w:hAnsi="仿宋" w:eastAsia="仿宋"/>
          <w:color w:val="auto"/>
          <w:sz w:val="24"/>
          <w:szCs w:val="24"/>
          <w:lang w:val="en-US" w:eastAsia="zh-CN"/>
        </w:rPr>
        <w:t>的</w:t>
      </w:r>
      <w:r>
        <w:rPr>
          <w:rFonts w:hint="eastAsia" w:ascii="仿宋" w:hAnsi="仿宋" w:eastAsia="仿宋"/>
          <w:color w:val="auto"/>
          <w:sz w:val="24"/>
          <w:szCs w:val="24"/>
        </w:rPr>
        <w:t>，可换发带认可标</w:t>
      </w:r>
      <w:r>
        <w:rPr>
          <w:rFonts w:hint="eastAsia" w:ascii="仿宋" w:hAnsi="仿宋" w:eastAsia="仿宋"/>
          <w:color w:val="auto"/>
          <w:sz w:val="24"/>
          <w:szCs w:val="24"/>
          <w:lang w:val="en-US" w:eastAsia="zh-CN"/>
        </w:rPr>
        <w:t>志</w:t>
      </w:r>
      <w:r>
        <w:rPr>
          <w:rFonts w:hint="eastAsia" w:ascii="仿宋" w:hAnsi="仿宋" w:eastAsia="仿宋"/>
          <w:color w:val="auto"/>
          <w:sz w:val="24"/>
          <w:szCs w:val="24"/>
        </w:rPr>
        <w:t>的证书；如果上次审核超过三个月，则在结合监督审核或者专项审核后，方可换发带认可标识的证书。</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4.6.2 认证业务范围的缩小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公司对认证业务范围专业能力进行管理,当某认证专业范围不具备相 应的专业能力时，综合部提出该业务范围缩小的报告，报副总审批后，将缩小的业务范围通知到相关部门。</w:t>
      </w:r>
    </w:p>
    <w:p>
      <w:pPr>
        <w:spacing w:line="360" w:lineRule="auto"/>
        <w:ind w:firstLine="480" w:firstLineChars="200"/>
        <w:jc w:val="both"/>
        <w:rPr>
          <w:rFonts w:ascii="仿宋" w:hAnsi="仿宋" w:eastAsia="仿宋" w:cs="仿宋"/>
          <w:color w:val="auto"/>
          <w:lang w:bidi="ar"/>
        </w:rPr>
      </w:pPr>
      <w:r>
        <w:rPr>
          <w:rStyle w:val="11"/>
          <w:rFonts w:ascii="仿宋" w:hAnsi="仿宋" w:eastAsia="仿宋" w:cs="仿宋"/>
          <w:color w:val="auto"/>
          <w:lang w:bidi="ar"/>
        </w:rPr>
        <w:t>当被缩小的认证业务范围为已认可的业务范围时， 公司应及时报认可机构申请缩小该认可业务范围</w:t>
      </w:r>
      <w:r>
        <w:rPr>
          <w:rFonts w:ascii="仿宋" w:hAnsi="仿宋" w:eastAsia="仿宋" w:cs="仿宋"/>
          <w:color w:val="auto"/>
          <w:lang w:bidi="ar"/>
        </w:rPr>
        <w:t>。</w:t>
      </w:r>
      <w:r>
        <w:rPr>
          <w:rFonts w:ascii="仿宋" w:hAnsi="仿宋" w:eastAsia="仿宋" w:cs="仿宋"/>
          <w:color w:val="auto"/>
          <w:lang w:bidi="ar"/>
        </w:rPr>
        <w:t xml:space="preserve">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4.6.3 综合部负责扩大认证业务范围的全部资料的建档及管理。 </w:t>
      </w:r>
    </w:p>
    <w:p>
      <w:pPr>
        <w:spacing w:line="360" w:lineRule="auto"/>
        <w:ind w:firstLine="480" w:firstLineChars="200"/>
        <w:jc w:val="both"/>
        <w:rPr>
          <w:rFonts w:ascii="仿宋" w:hAnsi="仿宋" w:eastAsia="仿宋" w:cs="仿宋"/>
          <w:color w:val="auto"/>
          <w:lang w:bidi="ar"/>
        </w:rPr>
      </w:pPr>
      <w:r>
        <w:rPr>
          <w:rFonts w:hint="eastAsia" w:ascii="仿宋" w:hAnsi="仿宋" w:eastAsia="仿宋" w:cs="仿宋"/>
          <w:color w:val="auto"/>
          <w:lang w:bidi="ar"/>
        </w:rPr>
        <w:t xml:space="preserve"> </w:t>
      </w:r>
    </w:p>
    <w:p>
      <w:pPr>
        <w:spacing w:line="360" w:lineRule="auto"/>
        <w:jc w:val="both"/>
        <w:outlineLvl w:val="0"/>
        <w:rPr>
          <w:rFonts w:ascii="仿宋" w:hAnsi="仿宋" w:eastAsia="仿宋" w:cs="仿宋"/>
          <w:b/>
          <w:bCs/>
          <w:color w:val="auto"/>
          <w:lang w:bidi="ar"/>
        </w:rPr>
      </w:pPr>
      <w:bookmarkStart w:id="6" w:name="_Toc196"/>
      <w:r>
        <w:rPr>
          <w:rFonts w:hint="eastAsia" w:ascii="仿宋" w:hAnsi="仿宋" w:eastAsia="仿宋" w:cs="仿宋"/>
          <w:b/>
          <w:bCs/>
          <w:color w:val="auto"/>
          <w:lang w:bidi="ar"/>
        </w:rPr>
        <w:t>5 相关记录</w:t>
      </w:r>
      <w:bookmarkEnd w:id="6"/>
      <w:r>
        <w:rPr>
          <w:rFonts w:hint="eastAsia" w:ascii="仿宋" w:hAnsi="仿宋" w:eastAsia="仿宋" w:cs="仿宋"/>
          <w:b/>
          <w:bCs/>
          <w:color w:val="auto"/>
          <w:lang w:bidi="ar"/>
        </w:rPr>
        <w:t xml:space="preserve">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5.1 ZL/CX-10-02 认证业务范围风险等级分类表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 xml:space="preserve">5.2 ZL/CX-10-01 认证业务范围人员分类表 </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5.3 ZL/CX-10-03 认证业务范围扩大申请表</w:t>
      </w:r>
    </w:p>
    <w:p>
      <w:pPr>
        <w:spacing w:line="360" w:lineRule="auto"/>
        <w:jc w:val="both"/>
        <w:rPr>
          <w:rFonts w:ascii="仿宋" w:hAnsi="仿宋" w:eastAsia="仿宋" w:cs="仿宋"/>
          <w:color w:val="auto"/>
          <w:lang w:bidi="ar"/>
        </w:rPr>
      </w:pPr>
      <w:r>
        <w:rPr>
          <w:rFonts w:hint="eastAsia" w:ascii="仿宋" w:hAnsi="仿宋" w:eastAsia="仿宋" w:cs="仿宋"/>
          <w:color w:val="auto"/>
          <w:lang w:bidi="ar"/>
        </w:rPr>
        <w:t>5.4 ZL/CX-10-04 认证业务范围缩小申请表</w:t>
      </w:r>
    </w:p>
    <w:p>
      <w:pPr>
        <w:spacing w:line="360" w:lineRule="auto"/>
        <w:jc w:val="both"/>
        <w:rPr>
          <w:rFonts w:ascii="仿宋" w:hAnsi="仿宋" w:eastAsia="仿宋" w:cs="仿宋"/>
          <w:color w:val="auto"/>
          <w:lang w:bidi="ar"/>
        </w:rPr>
      </w:pPr>
    </w:p>
    <w:sectPr>
      <w:headerReference r:id="rId5" w:type="first"/>
      <w:footerReference r:id="rId7" w:type="first"/>
      <w:footerReference r:id="rId6" w:type="default"/>
      <w:pgSz w:w="11900" w:h="16840"/>
      <w:pgMar w:top="1440" w:right="1293" w:bottom="1440" w:left="1293"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2056" o:spid="_x0000_s2056"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p>
                <w:pPr>
                  <w:pStyle w:val="5"/>
                </w:pPr>
                <w:r>
                  <w:t xml:space="preserve">第 </w:t>
                </w:r>
                <w:r>
                  <w:fldChar w:fldCharType="begin"/>
                </w:r>
                <w:r>
                  <w:instrText xml:space="preserve"> PAGE  \* MERGEFORMAT </w:instrText>
                </w:r>
                <w:r>
                  <w:fldChar w:fldCharType="separate"/>
                </w:r>
                <w:r>
                  <w:t>9</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2065" o:spid="_x0000_s2065" o:spt="202" type="#_x0000_t202" style="position:absolute;left:0pt;margin-top:0pt;height:144pt;width:144pt;mso-position-horizontal:center;mso-position-horizontal-relative:margin;mso-wrap-style:none;z-index:251667456;mso-width-relative:page;mso-height-relative:page;" filled="f" stroked="f" coordsize="21600,21600">
          <v:path/>
          <v:fill on="f" focussize="0,0"/>
          <v:stroke on="f" joinstyle="miter"/>
          <v:imagedata o:title=""/>
          <o:lock v:ext="edit"/>
          <v:textbox inset="0mm,0mm,0mm,0mm" style="mso-fit-shape-to-text:t;">
            <w:txbxContent>
              <w:p>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rPr>
        <w:szCs w:val="21"/>
      </w:rPr>
    </w:pPr>
    <w:r>
      <w:pict>
        <v:line id="_x0000_s2060" o:spid="_x0000_s2060" o:spt="20" style="position:absolute;left:0pt;margin-left:-63.1pt;margin-top:24.75pt;height:0.05pt;width:328.15pt;z-index:251664384;mso-width-relative:page;mso-height-relative:page;" filled="t" stroked="t" coordsize="21600,21600">
          <v:path arrowok="t"/>
          <v:fill on="t" focussize="0,0"/>
          <v:stroke weight="2.25pt" color="#2E75B6"/>
          <v:imagedata o:title=""/>
          <o:lock v:ext="edit"/>
        </v:line>
      </w:pict>
    </w:r>
    <w:r>
      <w:pict>
        <v:shape id="_x0000_s2059" o:spid="_x0000_s2059" o:spt="202" type="#_x0000_t202" style="position:absolute;left:0pt;margin-left:-6.3pt;margin-top:-0.15pt;height:25.8pt;width:270.45pt;z-index:251663360;mso-width-relative:page;mso-height-relative:page;" stroked="f" coordsize="21600,21600" o:gfxdata="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nQCJ/tUAAAAJAQAADwAAAAAAAAABACAAAAAiAAAAZHJzL2Rvd25yZXYueG1sUEsBAhQAFAAAAAgA&#10;h07iQHTa8adhAgAApwQAAA4AAAAAAAAAAQAgAAAAJAEAAGRycy9lMm9Eb2MueG1sUEsFBgAAAAAG&#10;AAYAWQEAAPcFAAAAAA==&#10;">
          <v:path/>
          <v:fill focussize="0,0"/>
          <v:stroke on="f" weight="0.5pt" joinstyle="miter"/>
          <v:imagedata o:title=""/>
          <o:lock v:ext="edit"/>
          <v:textbox>
            <w:txbxContent>
              <w:p>
                <w:pPr>
                  <w:rPr>
                    <w:rFonts w:ascii="微软雅黑" w:hAnsi="微软雅黑" w:eastAsia="微软雅黑" w:cs="微软雅黑"/>
                    <w:b/>
                    <w:bCs/>
                    <w:color w:val="ED7D31" w:themeColor="accent2"/>
                    <w:sz w:val="21"/>
                    <w:szCs w:val="21"/>
                  </w:rPr>
                </w:pPr>
                <w:r>
                  <w:rPr>
                    <w:rFonts w:hint="eastAsia" w:ascii="微软雅黑" w:hAnsi="微软雅黑" w:eastAsia="微软雅黑" w:cs="微软雅黑"/>
                    <w:b/>
                    <w:bCs/>
                    <w:color w:val="ED7D31" w:themeColor="accent2"/>
                    <w:sz w:val="21"/>
                    <w:szCs w:val="21"/>
                  </w:rPr>
                  <w:t>中澜认证有限公司  ZhongLan Certification Co.,Ltd</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r>
      <w:pict>
        <v:line id="_x0000_s2061" o:spid="_x0000_s2061" o:spt="20" style="position:absolute;left:0pt;margin-left:-64.35pt;margin-top:28.9pt;height:0.05pt;width:330pt;z-index:251666432;mso-width-relative:page;mso-height-relative:page;" filled="t" stroked="t" coordsize="21600,21600">
          <v:path arrowok="t"/>
          <v:fill on="t" focussize="0,0"/>
          <v:stroke weight="2.25pt" color="#2E75B6"/>
          <v:imagedata o:title=""/>
          <o:lock v:ext="edit"/>
        </v:line>
      </w:pict>
    </w:r>
    <w:r>
      <w:pict>
        <v:shape id="_x0000_s2062" o:spid="_x0000_s2062" o:spt="202" type="#_x0000_t202" style="position:absolute;left:0pt;margin-left:-6.3pt;margin-top:-0.15pt;height:25.8pt;width:270.45pt;z-index:251665408;mso-width-relative:page;mso-height-relative:page;" stroked="f" coordsize="21600,21600" o:gfxdata="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nQCJ/tUAAAAJAQAADwAAAAAAAAABACAAAAAiAAAAZHJzL2Rvd25yZXYueG1sUEsBAhQAFAAAAAgA&#10;h07iQHTa8adhAgAApwQAAA4AAAAAAAAAAQAgAAAAJAEAAGRycy9lMm9Eb2MueG1sUEsFBgAAAAAG&#10;AAYAWQEAAPcFAAAAAA==&#10;">
          <v:path/>
          <v:fill focussize="0,0"/>
          <v:stroke on="f" weight="0.5pt" joinstyle="miter"/>
          <v:imagedata o:title=""/>
          <o:lock v:ext="edit"/>
          <v:textbox>
            <w:txbxContent>
              <w:p>
                <w:pPr>
                  <w:rPr>
                    <w:rFonts w:ascii="微软雅黑" w:hAnsi="微软雅黑" w:eastAsia="微软雅黑" w:cs="微软雅黑"/>
                    <w:b/>
                    <w:bCs/>
                    <w:color w:val="ED7D31" w:themeColor="accent2"/>
                    <w:sz w:val="21"/>
                    <w:szCs w:val="21"/>
                  </w:rPr>
                </w:pPr>
                <w:r>
                  <w:rPr>
                    <w:rFonts w:hint="eastAsia" w:ascii="微软雅黑" w:hAnsi="微软雅黑" w:eastAsia="微软雅黑" w:cs="微软雅黑"/>
                    <w:b/>
                    <w:bCs/>
                    <w:color w:val="ED7D31" w:themeColor="accent2"/>
                    <w:sz w:val="21"/>
                    <w:szCs w:val="21"/>
                  </w:rPr>
                  <w:t>中澜认证有限公司  ZhongLan Certification Co.,Ltd</w: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200"/>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2Y2NzIyYWExN2Q4ZDRkNDJhZWU2MGIxMThkZTQ4OWYifQ=="/>
  </w:docVars>
  <w:rsids>
    <w:rsidRoot w:val="00013C87"/>
    <w:rsid w:val="00013C87"/>
    <w:rsid w:val="000821DD"/>
    <w:rsid w:val="00141906"/>
    <w:rsid w:val="00181250"/>
    <w:rsid w:val="001C4B10"/>
    <w:rsid w:val="001D300F"/>
    <w:rsid w:val="00204D3E"/>
    <w:rsid w:val="00211349"/>
    <w:rsid w:val="00224D40"/>
    <w:rsid w:val="00277D5F"/>
    <w:rsid w:val="0029277E"/>
    <w:rsid w:val="002D12CC"/>
    <w:rsid w:val="002D50BD"/>
    <w:rsid w:val="002D78A2"/>
    <w:rsid w:val="002F6E57"/>
    <w:rsid w:val="003350C6"/>
    <w:rsid w:val="003935A6"/>
    <w:rsid w:val="003B2AB4"/>
    <w:rsid w:val="003B65BC"/>
    <w:rsid w:val="003D2183"/>
    <w:rsid w:val="00410EE8"/>
    <w:rsid w:val="0043027F"/>
    <w:rsid w:val="00436B62"/>
    <w:rsid w:val="00442D10"/>
    <w:rsid w:val="0046058F"/>
    <w:rsid w:val="0049393E"/>
    <w:rsid w:val="004B0717"/>
    <w:rsid w:val="004D1F2C"/>
    <w:rsid w:val="004F4A34"/>
    <w:rsid w:val="004F7432"/>
    <w:rsid w:val="00507FC5"/>
    <w:rsid w:val="0054656E"/>
    <w:rsid w:val="00557CF6"/>
    <w:rsid w:val="00570306"/>
    <w:rsid w:val="005C1EE3"/>
    <w:rsid w:val="00614746"/>
    <w:rsid w:val="0061627D"/>
    <w:rsid w:val="00631F20"/>
    <w:rsid w:val="006330D4"/>
    <w:rsid w:val="006C24A0"/>
    <w:rsid w:val="00722877"/>
    <w:rsid w:val="007372E8"/>
    <w:rsid w:val="00743B8D"/>
    <w:rsid w:val="007E5BB0"/>
    <w:rsid w:val="00810592"/>
    <w:rsid w:val="00810AEC"/>
    <w:rsid w:val="008316C0"/>
    <w:rsid w:val="00832912"/>
    <w:rsid w:val="00847C2C"/>
    <w:rsid w:val="008909EC"/>
    <w:rsid w:val="008A21E8"/>
    <w:rsid w:val="00961787"/>
    <w:rsid w:val="00963485"/>
    <w:rsid w:val="009A562A"/>
    <w:rsid w:val="00AD0200"/>
    <w:rsid w:val="00B2594A"/>
    <w:rsid w:val="00B3662E"/>
    <w:rsid w:val="00B4646D"/>
    <w:rsid w:val="00B869CD"/>
    <w:rsid w:val="00BA5023"/>
    <w:rsid w:val="00C1204E"/>
    <w:rsid w:val="00C668E6"/>
    <w:rsid w:val="00D30EEA"/>
    <w:rsid w:val="00D63EAF"/>
    <w:rsid w:val="00D86A39"/>
    <w:rsid w:val="00D97642"/>
    <w:rsid w:val="00DE1FBB"/>
    <w:rsid w:val="00DE491F"/>
    <w:rsid w:val="00E0114A"/>
    <w:rsid w:val="00E44A55"/>
    <w:rsid w:val="00E6396F"/>
    <w:rsid w:val="00E75180"/>
    <w:rsid w:val="00E77993"/>
    <w:rsid w:val="00EA1F41"/>
    <w:rsid w:val="00EE30E5"/>
    <w:rsid w:val="00F65F65"/>
    <w:rsid w:val="00F953CD"/>
    <w:rsid w:val="00FE2E4B"/>
    <w:rsid w:val="01777A28"/>
    <w:rsid w:val="03166E55"/>
    <w:rsid w:val="03925815"/>
    <w:rsid w:val="04664EAC"/>
    <w:rsid w:val="04E1779C"/>
    <w:rsid w:val="04EF64B4"/>
    <w:rsid w:val="05461FC9"/>
    <w:rsid w:val="05582454"/>
    <w:rsid w:val="05B408AF"/>
    <w:rsid w:val="06BB53B8"/>
    <w:rsid w:val="06F1480C"/>
    <w:rsid w:val="076B3299"/>
    <w:rsid w:val="076F281C"/>
    <w:rsid w:val="07776FEE"/>
    <w:rsid w:val="08127BF0"/>
    <w:rsid w:val="08BA2CEE"/>
    <w:rsid w:val="08E33BCD"/>
    <w:rsid w:val="090F3673"/>
    <w:rsid w:val="09263E21"/>
    <w:rsid w:val="09852F5E"/>
    <w:rsid w:val="0A194D15"/>
    <w:rsid w:val="0A8A0A03"/>
    <w:rsid w:val="0A96729C"/>
    <w:rsid w:val="0AE84438"/>
    <w:rsid w:val="0B881CA0"/>
    <w:rsid w:val="0D1672EF"/>
    <w:rsid w:val="0EF01535"/>
    <w:rsid w:val="0FB94716"/>
    <w:rsid w:val="11226B14"/>
    <w:rsid w:val="11F35594"/>
    <w:rsid w:val="11F60749"/>
    <w:rsid w:val="14CC0EDB"/>
    <w:rsid w:val="15487F92"/>
    <w:rsid w:val="17A75834"/>
    <w:rsid w:val="17DE5631"/>
    <w:rsid w:val="18FF7675"/>
    <w:rsid w:val="199367BA"/>
    <w:rsid w:val="1AA04CC9"/>
    <w:rsid w:val="1BD50C9F"/>
    <w:rsid w:val="1D697CB8"/>
    <w:rsid w:val="1D7A4847"/>
    <w:rsid w:val="1DD01015"/>
    <w:rsid w:val="1ED92E14"/>
    <w:rsid w:val="1F881276"/>
    <w:rsid w:val="20571010"/>
    <w:rsid w:val="218D05CC"/>
    <w:rsid w:val="22BE7867"/>
    <w:rsid w:val="2353242B"/>
    <w:rsid w:val="23626A83"/>
    <w:rsid w:val="239458D3"/>
    <w:rsid w:val="24814BF1"/>
    <w:rsid w:val="25980C4D"/>
    <w:rsid w:val="25A9168E"/>
    <w:rsid w:val="25F906CF"/>
    <w:rsid w:val="278521AC"/>
    <w:rsid w:val="27B537FB"/>
    <w:rsid w:val="27D6224C"/>
    <w:rsid w:val="285C7CF3"/>
    <w:rsid w:val="290C5A38"/>
    <w:rsid w:val="29B96D04"/>
    <w:rsid w:val="2B0C2E20"/>
    <w:rsid w:val="2C6E026C"/>
    <w:rsid w:val="2E6E2F3E"/>
    <w:rsid w:val="317C627B"/>
    <w:rsid w:val="33042064"/>
    <w:rsid w:val="350E4C13"/>
    <w:rsid w:val="35B74F3C"/>
    <w:rsid w:val="3A404671"/>
    <w:rsid w:val="3B6A0534"/>
    <w:rsid w:val="3CBE4649"/>
    <w:rsid w:val="3E2D00D1"/>
    <w:rsid w:val="3EDA77F7"/>
    <w:rsid w:val="42C14299"/>
    <w:rsid w:val="432C5058"/>
    <w:rsid w:val="46284D6C"/>
    <w:rsid w:val="46A173CF"/>
    <w:rsid w:val="46F43801"/>
    <w:rsid w:val="479877EA"/>
    <w:rsid w:val="4A762A88"/>
    <w:rsid w:val="4AA63269"/>
    <w:rsid w:val="4ACBF0E5"/>
    <w:rsid w:val="4BE91D5D"/>
    <w:rsid w:val="4D413B67"/>
    <w:rsid w:val="4D7B2CCF"/>
    <w:rsid w:val="4DE0196A"/>
    <w:rsid w:val="4DE35E09"/>
    <w:rsid w:val="4E247E32"/>
    <w:rsid w:val="4E6E6F3A"/>
    <w:rsid w:val="4F257EEB"/>
    <w:rsid w:val="502C4B4E"/>
    <w:rsid w:val="518A51B8"/>
    <w:rsid w:val="523C6BD2"/>
    <w:rsid w:val="52661827"/>
    <w:rsid w:val="537963E2"/>
    <w:rsid w:val="549A1A22"/>
    <w:rsid w:val="557352BE"/>
    <w:rsid w:val="56A64C3B"/>
    <w:rsid w:val="56E43890"/>
    <w:rsid w:val="57750D5A"/>
    <w:rsid w:val="58CE52FC"/>
    <w:rsid w:val="59C43FD3"/>
    <w:rsid w:val="5A9305CE"/>
    <w:rsid w:val="5BA949A9"/>
    <w:rsid w:val="5BAE4E25"/>
    <w:rsid w:val="5C6A16CA"/>
    <w:rsid w:val="5CF45DE6"/>
    <w:rsid w:val="5EC96E9B"/>
    <w:rsid w:val="5F983D78"/>
    <w:rsid w:val="61D84130"/>
    <w:rsid w:val="62061852"/>
    <w:rsid w:val="622A283E"/>
    <w:rsid w:val="626E50E6"/>
    <w:rsid w:val="62B04D4E"/>
    <w:rsid w:val="62E367D3"/>
    <w:rsid w:val="63C24562"/>
    <w:rsid w:val="649E45A9"/>
    <w:rsid w:val="65622067"/>
    <w:rsid w:val="665F4947"/>
    <w:rsid w:val="66F838CD"/>
    <w:rsid w:val="66FC714B"/>
    <w:rsid w:val="67190D14"/>
    <w:rsid w:val="67442B6F"/>
    <w:rsid w:val="67E44C5D"/>
    <w:rsid w:val="67F318D7"/>
    <w:rsid w:val="67FBBCE5"/>
    <w:rsid w:val="68150CD2"/>
    <w:rsid w:val="697B1D7D"/>
    <w:rsid w:val="698F47E3"/>
    <w:rsid w:val="69EE3118"/>
    <w:rsid w:val="6A3B290E"/>
    <w:rsid w:val="6AF17875"/>
    <w:rsid w:val="6CE63F03"/>
    <w:rsid w:val="6CE63F1E"/>
    <w:rsid w:val="6E7FCBB6"/>
    <w:rsid w:val="6E9910EC"/>
    <w:rsid w:val="6E9B044D"/>
    <w:rsid w:val="6EBD7523"/>
    <w:rsid w:val="6F562B08"/>
    <w:rsid w:val="70484C9C"/>
    <w:rsid w:val="721923D9"/>
    <w:rsid w:val="72A90240"/>
    <w:rsid w:val="74CE67F5"/>
    <w:rsid w:val="750444EF"/>
    <w:rsid w:val="75236E28"/>
    <w:rsid w:val="7543697C"/>
    <w:rsid w:val="75ED0EEE"/>
    <w:rsid w:val="76FA55A7"/>
    <w:rsid w:val="77895007"/>
    <w:rsid w:val="785900DA"/>
    <w:rsid w:val="786A2649"/>
    <w:rsid w:val="78CC774E"/>
    <w:rsid w:val="790B274E"/>
    <w:rsid w:val="796C4445"/>
    <w:rsid w:val="7A1D75FF"/>
    <w:rsid w:val="7A8655D7"/>
    <w:rsid w:val="7AD36866"/>
    <w:rsid w:val="7AE5551B"/>
    <w:rsid w:val="7C936050"/>
    <w:rsid w:val="7D6B6539"/>
    <w:rsid w:val="7E170B98"/>
    <w:rsid w:val="7EDBE689"/>
    <w:rsid w:val="7F2A19CB"/>
    <w:rsid w:val="7F7F6BF0"/>
    <w:rsid w:val="8FFFE5FE"/>
    <w:rsid w:val="C7CE0B0E"/>
    <w:rsid w:val="D7BAAFE0"/>
    <w:rsid w:val="DEFB8E66"/>
    <w:rsid w:val="DFF83F60"/>
    <w:rsid w:val="EBDF8270"/>
    <w:rsid w:val="F8FF4E2F"/>
    <w:rsid w:val="FDBF5034"/>
    <w:rsid w:val="FE6F5752"/>
    <w:rsid w:val="FEA63E23"/>
    <w:rsid w:val="FF298A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直接连接符 89"/>
        <o:r id="V:Rule2" type="connector" idref="#AutoShape 28"/>
        <o:r id="V:Rule3" type="connector" idref="#AutoShape 29"/>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adjustRightInd w:val="0"/>
    </w:pPr>
    <w:rPr>
      <w:rFonts w:ascii="Times New Roman" w:hAnsi="Times New Roman" w:cs="Times New Roman" w:eastAsiaTheme="minorEastAsia"/>
      <w:sz w:val="24"/>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style>
  <w:style w:type="paragraph" w:styleId="3">
    <w:name w:val="Body Text"/>
    <w:basedOn w:val="1"/>
    <w:link w:val="13"/>
    <w:autoRedefine/>
    <w:qFormat/>
    <w:uiPriority w:val="1"/>
    <w:pPr>
      <w:ind w:left="17"/>
    </w:pPr>
    <w:rPr>
      <w:rFonts w:ascii="宋体" w:eastAsia="宋体" w:cs="宋体"/>
      <w:sz w:val="32"/>
      <w:szCs w:val="32"/>
    </w:rPr>
  </w:style>
  <w:style w:type="paragraph" w:styleId="4">
    <w:name w:val="Balloon Text"/>
    <w:basedOn w:val="1"/>
    <w:link w:val="19"/>
    <w:autoRedefine/>
    <w:semiHidden/>
    <w:unhideWhenUsed/>
    <w:qFormat/>
    <w:uiPriority w:val="99"/>
    <w:rPr>
      <w:sz w:val="18"/>
      <w:szCs w:val="18"/>
    </w:rPr>
  </w:style>
  <w:style w:type="paragraph" w:styleId="5">
    <w:name w:val="footer"/>
    <w:basedOn w:val="1"/>
    <w:autoRedefine/>
    <w:qFormat/>
    <w:uiPriority w:val="0"/>
    <w:pPr>
      <w:tabs>
        <w:tab w:val="center" w:pos="4153"/>
        <w:tab w:val="right" w:pos="8306"/>
      </w:tabs>
      <w:snapToGrid w:val="0"/>
    </w:pPr>
    <w:rPr>
      <w:sz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rPr>
  </w:style>
  <w:style w:type="paragraph" w:styleId="7">
    <w:name w:val="toc 1"/>
    <w:basedOn w:val="1"/>
    <w:next w:val="1"/>
    <w:autoRedefine/>
    <w:semiHidden/>
    <w:unhideWhenUsed/>
    <w:qFormat/>
    <w:uiPriority w:val="39"/>
  </w:style>
  <w:style w:type="paragraph" w:styleId="8">
    <w:name w:val="Normal (Web)"/>
    <w:basedOn w:val="1"/>
    <w:autoRedefine/>
    <w:unhideWhenUsed/>
    <w:qFormat/>
    <w:uiPriority w:val="99"/>
    <w:pPr>
      <w:spacing w:beforeAutospacing="1" w:afterAutospacing="1"/>
    </w:pPr>
  </w:style>
  <w:style w:type="table" w:styleId="10">
    <w:name w:val="Table Grid"/>
    <w:basedOn w:val="9"/>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annotation reference"/>
    <w:basedOn w:val="11"/>
    <w:autoRedefine/>
    <w:semiHidden/>
    <w:unhideWhenUsed/>
    <w:qFormat/>
    <w:uiPriority w:val="99"/>
    <w:rPr>
      <w:sz w:val="21"/>
      <w:szCs w:val="21"/>
    </w:rPr>
  </w:style>
  <w:style w:type="character" w:customStyle="1" w:styleId="13">
    <w:name w:val="正文文本 Char"/>
    <w:basedOn w:val="11"/>
    <w:link w:val="3"/>
    <w:autoRedefine/>
    <w:qFormat/>
    <w:uiPriority w:val="1"/>
    <w:rPr>
      <w:rFonts w:ascii="宋体" w:hAnsi="Times New Roman" w:eastAsia="宋体" w:cs="宋体"/>
      <w:kern w:val="0"/>
      <w:sz w:val="32"/>
      <w:szCs w:val="32"/>
    </w:rPr>
  </w:style>
  <w:style w:type="paragraph" w:customStyle="1" w:styleId="14">
    <w:name w:val="Table Paragraph"/>
    <w:basedOn w:val="1"/>
    <w:autoRedefine/>
    <w:qFormat/>
    <w:uiPriority w:val="1"/>
  </w:style>
  <w:style w:type="paragraph" w:styleId="15">
    <w:name w:val="List Paragraph"/>
    <w:basedOn w:val="1"/>
    <w:autoRedefine/>
    <w:unhideWhenUsed/>
    <w:qFormat/>
    <w:uiPriority w:val="99"/>
    <w:pPr>
      <w:ind w:firstLine="420" w:firstLineChars="200"/>
    </w:pPr>
  </w:style>
  <w:style w:type="character" w:customStyle="1" w:styleId="16">
    <w:name w:val="Body text (2)_"/>
    <w:basedOn w:val="11"/>
    <w:link w:val="17"/>
    <w:autoRedefine/>
    <w:qFormat/>
    <w:uiPriority w:val="99"/>
    <w:rPr>
      <w:rFonts w:ascii="Arial Unicode MS" w:eastAsia="Arial Unicode MS" w:cs="Arial Unicode MS"/>
      <w:kern w:val="0"/>
      <w:sz w:val="22"/>
    </w:rPr>
  </w:style>
  <w:style w:type="paragraph" w:customStyle="1" w:styleId="17">
    <w:name w:val="Body text (2)1"/>
    <w:basedOn w:val="1"/>
    <w:link w:val="16"/>
    <w:autoRedefine/>
    <w:qFormat/>
    <w:uiPriority w:val="99"/>
    <w:pPr>
      <w:shd w:val="clear" w:color="auto" w:fill="FFFFFF"/>
      <w:spacing w:after="360" w:line="442" w:lineRule="exact"/>
      <w:ind w:hanging="440"/>
      <w:jc w:val="distribute"/>
    </w:pPr>
    <w:rPr>
      <w:rFonts w:ascii="Arial Unicode MS" w:eastAsia="Arial Unicode MS" w:cs="Arial Unicode MS"/>
      <w:sz w:val="22"/>
    </w:rPr>
  </w:style>
  <w:style w:type="paragraph" w:customStyle="1" w:styleId="18">
    <w:name w:val="WPSOffice手动目录 1"/>
    <w:autoRedefine/>
    <w:qFormat/>
    <w:uiPriority w:val="0"/>
    <w:rPr>
      <w:rFonts w:ascii="Times New Roman" w:hAnsi="Times New Roman" w:eastAsia="宋体" w:cs="Times New Roman"/>
      <w:lang w:val="en-US" w:eastAsia="zh-CN" w:bidi="ar-SA"/>
    </w:rPr>
  </w:style>
  <w:style w:type="character" w:customStyle="1" w:styleId="19">
    <w:name w:val="批注框文本 Char"/>
    <w:basedOn w:val="11"/>
    <w:link w:val="4"/>
    <w:autoRedefine/>
    <w:semiHidden/>
    <w:qFormat/>
    <w:uiPriority w:val="99"/>
    <w:rPr>
      <w:rFonts w:eastAsiaTheme="minorEastAsia"/>
      <w:sz w:val="18"/>
      <w:szCs w:val="18"/>
    </w:rPr>
  </w:style>
  <w:style w:type="character" w:customStyle="1" w:styleId="20">
    <w:name w:val="fontstyle01"/>
    <w:basedOn w:val="11"/>
    <w:autoRedefine/>
    <w:qFormat/>
    <w:uiPriority w:val="0"/>
    <w:rPr>
      <w:rFonts w:hint="eastAsia" w:ascii="宋体" w:hAnsi="宋体" w:eastAsia="宋体"/>
      <w:color w:val="000000"/>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60"/>
    <customShpInfo spid="_x0000_s2059"/>
    <customShpInfo spid="_x0000_s2061"/>
    <customShpInfo spid="_x0000_s2062"/>
    <customShpInfo spid="_x0000_s2056"/>
    <customShpInfo spid="_x0000_s2065"/>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9</Pages>
  <Words>4523</Words>
  <Characters>5026</Characters>
  <Lines>43</Lines>
  <Paragraphs>12</Paragraphs>
  <TotalTime>0</TotalTime>
  <ScaleCrop>false</ScaleCrop>
  <LinksUpToDate>false</LinksUpToDate>
  <CharactersWithSpaces>5309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2022-07-23T12:31:00Z</dcterms:created>
  <dc:creator>庹小勇</dc:creator>
  <cp:lastModifiedBy>阿门</cp:lastModifiedBy>
  <cp:lastPrinted>2022-08-01T08:14:00Z</cp:lastPrinted>
  <dcterms:modified xsi:type="dcterms:W3CDTF">2024-01-15T11:47:47Z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20EC9E35E4324694894514F4A50901B1</vt:lpwstr>
  </property>
</Properties>
</file>